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60"/>
      </w:pPr>
      <w:r>
        <w:t>Candidate experience survey</w:t>
      </w:r>
    </w:p>
    <w:p>
      <w:pPr>
        <w:pStyle w:val="Heading1"/>
      </w:pPr>
      <w:r>
        <w:t>Interviewed candidates</w:t>
      </w:r>
    </w:p>
    <w:p>
      <w:pPr>
        <w:spacing w:after="120"/>
      </w:pPr>
      <w:r>
        <w:t>Taking part is optional and you can skip any question. We use feedback to improve our recruitment process, not to assess your application. Please do not include names or sensitive personal details.</w:t>
      </w:r>
    </w:p>
    <w:p>
      <w:pPr>
        <w:spacing w:after="140"/>
      </w:pPr>
      <w:r>
        <w:t>[Before sending, insert who can access responses, the retention period, a privacy notice URL and a contact for questions. Only promise anonymity if the collection method genuinely supports it.]</w:t>
      </w:r>
    </w:p>
    <w:p>
      <w:pPr>
        <w:pStyle w:val="Heading2"/>
        <w:spacing w:after="80"/>
      </w:pPr>
      <w:r>
        <w:t>Rate each item using this scale</w:t>
      </w:r>
    </w:p>
    <w:p>
      <w:pPr>
        <w:spacing w:after="180"/>
      </w:pPr>
      <w:r>
        <w:t>1 Very poor; 2 Poor; 3 Neither poor nor good; 4 Good; 5 Very good; NA Not applicable / cannot judge; PN Prefer not to answer. A blank answer means skipped.</w:t>
      </w:r>
    </w:p>
    <w:p>
      <w:pPr>
        <w:spacing w:after="40"/>
      </w:pPr>
      <w:r>
        <w:rPr>
          <w:b/>
        </w:rPr>
        <w:t xml:space="preserve">C1  </w:t>
      </w:r>
      <w:r>
        <w:t>Overall, how would you rate your experience of this recruitment process?</w:t>
      </w:r>
    </w:p>
    <w:p>
      <w:pPr>
        <w:spacing w:after="140"/>
      </w:pPr>
      <w:r>
        <w:t>Rating (1-5, NA, PN): ______</w:t>
      </w:r>
    </w:p>
    <w:p>
      <w:pPr>
        <w:spacing w:after="40"/>
      </w:pPr>
      <w:r>
        <w:rPr>
          <w:b/>
        </w:rPr>
        <w:t xml:space="preserve">C2  </w:t>
      </w:r>
      <w:r>
        <w:t>How would you rate the clarity of the information about the role?</w:t>
      </w:r>
    </w:p>
    <w:p>
      <w:pPr>
        <w:spacing w:after="140"/>
      </w:pPr>
      <w:r>
        <w:t>Rating (1-5, NA, PN): ______</w:t>
      </w:r>
    </w:p>
    <w:p>
      <w:pPr>
        <w:spacing w:after="40"/>
      </w:pPr>
      <w:r>
        <w:rPr>
          <w:b/>
        </w:rPr>
        <w:t xml:space="preserve">C3  </w:t>
      </w:r>
      <w:r>
        <w:t>How would you rate the timeliness of updates from the hiring team?</w:t>
      </w:r>
    </w:p>
    <w:p>
      <w:pPr>
        <w:spacing w:after="140"/>
      </w:pPr>
      <w:r>
        <w:t>Rating (1-5, NA, PN): ______</w:t>
      </w:r>
    </w:p>
    <w:p>
      <w:pPr>
        <w:spacing w:after="40"/>
      </w:pPr>
      <w:r>
        <w:rPr>
          <w:b/>
        </w:rPr>
        <w:t xml:space="preserve">C4  </w:t>
      </w:r>
      <w:r>
        <w:t>How would you rate the respect shown to you during the process?</w:t>
      </w:r>
    </w:p>
    <w:p>
      <w:pPr>
        <w:spacing w:after="140"/>
      </w:pPr>
      <w:r>
        <w:t>Rating (1-5, NA, PN): ______</w:t>
      </w:r>
    </w:p>
    <w:p>
      <w:pPr>
        <w:spacing w:after="40"/>
      </w:pPr>
      <w:r>
        <w:rPr>
          <w:b/>
        </w:rPr>
        <w:t xml:space="preserve">I1  </w:t>
      </w:r>
      <w:r>
        <w:t>How would you rate the information you received to prepare for the interview?</w:t>
      </w:r>
    </w:p>
    <w:p>
      <w:pPr>
        <w:spacing w:after="140"/>
      </w:pPr>
      <w:r>
        <w:t>Rating (1-5, NA, PN): ______</w:t>
      </w:r>
    </w:p>
    <w:p>
      <w:pPr>
        <w:spacing w:after="40"/>
      </w:pPr>
      <w:r>
        <w:rPr>
          <w:b/>
        </w:rPr>
        <w:t xml:space="preserve">I2  </w:t>
      </w:r>
      <w:r>
        <w:t>How would you rate your opportunity to explain your job-related skills during the interview?</w:t>
      </w:r>
    </w:p>
    <w:p>
      <w:pPr>
        <w:spacing w:after="140"/>
      </w:pPr>
      <w:r>
        <w:t>Rating (1-5, NA, PN): ______</w:t>
      </w:r>
    </w:p>
    <w:p>
      <w:pPr>
        <w:spacing w:after="40"/>
      </w:pPr>
      <w:r>
        <w:rPr>
          <w:b/>
        </w:rPr>
        <w:t xml:space="preserve">I3  </w:t>
      </w:r>
      <w:r>
        <w:t>How would you rate the clarity of the next steps explained after the interview?</w:t>
      </w:r>
    </w:p>
    <w:p>
      <w:pPr>
        <w:spacing w:after="140"/>
      </w:pPr>
      <w:r>
        <w:t>Rating (1-5, NA, PN): ______</w:t>
      </w:r>
    </w:p>
    <w:p>
      <w:pPr>
        <w:spacing w:after="60"/>
      </w:pPr>
      <w:r>
        <w:rPr>
          <w:b/>
        </w:rPr>
        <w:t xml:space="preserve">O1  </w:t>
      </w:r>
      <w:r>
        <w:t>What is one thing we should keep?</w:t>
      </w:r>
    </w:p>
    <w:p>
      <w:pPr>
        <w:spacing w:after="120"/>
      </w:pPr>
      <w:r>
        <w:t>____________________________________________________________________</w:t>
      </w:r>
    </w:p>
    <w:p>
      <w:pPr>
        <w:spacing w:after="60"/>
      </w:pPr>
      <w:r>
        <w:rPr>
          <w:b/>
        </w:rPr>
        <w:t xml:space="preserve">O2  </w:t>
      </w:r>
      <w:r>
        <w:t>What is one thing we should change?</w:t>
      </w:r>
    </w:p>
    <w:p>
      <w:pPr>
        <w:spacing w:after="120"/>
      </w:pPr>
      <w:r>
        <w:t>____________________________________________________________________</w:t>
      </w:r>
    </w:p>
    <w:p>
      <w:pPr>
        <w:spacing w:after="0"/>
      </w:pPr>
      <w:r>
        <w:rPr>
          <w:sz w:val="18"/>
        </w:rPr>
        <w:t>Original editable template | Treegarden | October 14, 2026</w:t>
      </w:r>
    </w:p>
    <w:p>
      <w:r>
        <w:br w:type="page"/>
      </w:r>
    </w:p>
    <w:p>
      <w:pPr>
        <w:pStyle w:val="Title"/>
        <w:spacing w:after="160"/>
      </w:pPr>
      <w:r>
        <w:t>Candidate experience survey</w:t>
      </w:r>
    </w:p>
    <w:p>
      <w:pPr>
        <w:pStyle w:val="Heading1"/>
      </w:pPr>
      <w:r>
        <w:t>Rejected candidates</w:t>
      </w:r>
    </w:p>
    <w:p>
      <w:pPr>
        <w:spacing w:after="120"/>
      </w:pPr>
      <w:r>
        <w:t>Taking part is optional and you can skip any question. We use feedback to improve our recruitment process, not to assess your application. Please do not include names or sensitive personal details.</w:t>
      </w:r>
    </w:p>
    <w:p>
      <w:pPr>
        <w:spacing w:after="140"/>
      </w:pPr>
      <w:r>
        <w:t>[Before sending, insert who can access responses, the retention period, a privacy notice URL and a contact for questions. Only promise anonymity if the collection method genuinely supports it.]</w:t>
      </w:r>
    </w:p>
    <w:p>
      <w:pPr>
        <w:pStyle w:val="Heading2"/>
        <w:spacing w:after="80"/>
      </w:pPr>
      <w:r>
        <w:t>Rate each item using this scale</w:t>
      </w:r>
    </w:p>
    <w:p>
      <w:pPr>
        <w:spacing w:after="180"/>
      </w:pPr>
      <w:r>
        <w:t>1 Very poor; 2 Poor; 3 Neither poor nor good; 4 Good; 5 Very good; NA Not applicable / cannot judge; PN Prefer not to answer. A blank answer means skipped.</w:t>
      </w:r>
    </w:p>
    <w:p>
      <w:pPr>
        <w:spacing w:after="40"/>
      </w:pPr>
      <w:r>
        <w:rPr>
          <w:b/>
        </w:rPr>
        <w:t xml:space="preserve">C1  </w:t>
      </w:r>
      <w:r>
        <w:t>Overall, how would you rate your experience of this recruitment process?</w:t>
      </w:r>
    </w:p>
    <w:p>
      <w:pPr>
        <w:spacing w:after="140"/>
      </w:pPr>
      <w:r>
        <w:t>Rating (1-5, NA, PN): ______</w:t>
      </w:r>
    </w:p>
    <w:p>
      <w:pPr>
        <w:spacing w:after="40"/>
      </w:pPr>
      <w:r>
        <w:rPr>
          <w:b/>
        </w:rPr>
        <w:t xml:space="preserve">C2  </w:t>
      </w:r>
      <w:r>
        <w:t>How would you rate the clarity of the information about the role?</w:t>
      </w:r>
    </w:p>
    <w:p>
      <w:pPr>
        <w:spacing w:after="140"/>
      </w:pPr>
      <w:r>
        <w:t>Rating (1-5, NA, PN): ______</w:t>
      </w:r>
    </w:p>
    <w:p>
      <w:pPr>
        <w:spacing w:after="40"/>
      </w:pPr>
      <w:r>
        <w:rPr>
          <w:b/>
        </w:rPr>
        <w:t xml:space="preserve">C3  </w:t>
      </w:r>
      <w:r>
        <w:t>How would you rate the timeliness of updates from the hiring team?</w:t>
      </w:r>
    </w:p>
    <w:p>
      <w:pPr>
        <w:spacing w:after="140"/>
      </w:pPr>
      <w:r>
        <w:t>Rating (1-5, NA, PN): ______</w:t>
      </w:r>
    </w:p>
    <w:p>
      <w:pPr>
        <w:spacing w:after="40"/>
      </w:pPr>
      <w:r>
        <w:rPr>
          <w:b/>
        </w:rPr>
        <w:t xml:space="preserve">C4  </w:t>
      </w:r>
      <w:r>
        <w:t>How would you rate the respect shown to you during the process?</w:t>
      </w:r>
    </w:p>
    <w:p>
      <w:pPr>
        <w:spacing w:after="140"/>
      </w:pPr>
      <w:r>
        <w:t>Rating (1-5, NA, PN): ______</w:t>
      </w:r>
    </w:p>
    <w:p>
      <w:pPr>
        <w:spacing w:after="40"/>
      </w:pPr>
      <w:r>
        <w:rPr>
          <w:b/>
        </w:rPr>
        <w:t xml:space="preserve">R1  </w:t>
      </w:r>
      <w:r>
        <w:t>How would you rate the clarity of the message communicating our decision?</w:t>
      </w:r>
    </w:p>
    <w:p>
      <w:pPr>
        <w:spacing w:after="140"/>
      </w:pPr>
      <w:r>
        <w:t>Rating (1-5, NA, PN): ______</w:t>
      </w:r>
    </w:p>
    <w:p>
      <w:pPr>
        <w:spacing w:after="40"/>
      </w:pPr>
      <w:r>
        <w:rPr>
          <w:b/>
        </w:rPr>
        <w:t xml:space="preserve">R2  </w:t>
      </w:r>
      <w:r>
        <w:t>How would you rate the usefulness of any feedback you received?</w:t>
      </w:r>
    </w:p>
    <w:p>
      <w:pPr>
        <w:spacing w:after="140"/>
      </w:pPr>
      <w:r>
        <w:t>Rating (1-5, NA, PN): ______  Choose NA if no feedback was received.</w:t>
      </w:r>
    </w:p>
    <w:p>
      <w:pPr>
        <w:spacing w:after="60"/>
      </w:pPr>
      <w:r>
        <w:rPr>
          <w:b/>
        </w:rPr>
        <w:t xml:space="preserve">O1  </w:t>
      </w:r>
      <w:r>
        <w:t>What is one thing we should keep?</w:t>
      </w:r>
    </w:p>
    <w:p>
      <w:pPr>
        <w:spacing w:after="120"/>
      </w:pPr>
      <w:r>
        <w:t>____________________________________________________________________</w:t>
      </w:r>
    </w:p>
    <w:p>
      <w:pPr>
        <w:spacing w:after="60"/>
      </w:pPr>
      <w:r>
        <w:rPr>
          <w:b/>
        </w:rPr>
        <w:t xml:space="preserve">O2  </w:t>
      </w:r>
      <w:r>
        <w:t>What is one thing we should change?</w:t>
      </w:r>
    </w:p>
    <w:p>
      <w:pPr>
        <w:spacing w:after="120"/>
      </w:pPr>
      <w:r>
        <w:t>____________________________________________________________________</w:t>
      </w:r>
    </w:p>
    <w:p>
      <w:pPr>
        <w:spacing w:after="0"/>
      </w:pPr>
      <w:r>
        <w:rPr>
          <w:sz w:val="18"/>
        </w:rPr>
        <w:t>Original editable template | Treegarden | October 14, 2026</w:t>
      </w:r>
    </w:p>
    <w:p>
      <w:r>
        <w:br w:type="page"/>
      </w:r>
    </w:p>
    <w:p>
      <w:pPr>
        <w:pStyle w:val="Title"/>
        <w:spacing w:after="160"/>
      </w:pPr>
      <w:r>
        <w:t>Candidate experience survey</w:t>
      </w:r>
    </w:p>
    <w:p>
      <w:pPr>
        <w:pStyle w:val="Heading1"/>
      </w:pPr>
      <w:r>
        <w:t>Withdrawn candidates</w:t>
      </w:r>
    </w:p>
    <w:p>
      <w:pPr>
        <w:spacing w:after="120"/>
      </w:pPr>
      <w:r>
        <w:t>Taking part is optional and you can skip any question. We use feedback to improve our recruitment process, not to assess your application. Please do not include names or sensitive personal details.</w:t>
      </w:r>
    </w:p>
    <w:p>
      <w:pPr>
        <w:spacing w:after="140"/>
      </w:pPr>
      <w:r>
        <w:t>[Before sending, insert who can access responses, the retention period, a privacy notice URL and a contact for questions. Only promise anonymity if the collection method genuinely supports it.]</w:t>
      </w:r>
    </w:p>
    <w:p>
      <w:pPr>
        <w:pStyle w:val="Heading2"/>
        <w:spacing w:after="80"/>
      </w:pPr>
      <w:r>
        <w:t>Rate each item using this scale</w:t>
      </w:r>
    </w:p>
    <w:p>
      <w:pPr>
        <w:spacing w:after="180"/>
      </w:pPr>
      <w:r>
        <w:t>1 Very poor; 2 Poor; 3 Neither poor nor good; 4 Good; 5 Very good; NA Not applicable / cannot judge; PN Prefer not to answer. A blank answer means skipped.</w:t>
      </w:r>
    </w:p>
    <w:p>
      <w:pPr>
        <w:spacing w:after="40"/>
      </w:pPr>
      <w:r>
        <w:rPr>
          <w:b/>
        </w:rPr>
        <w:t xml:space="preserve">C1  </w:t>
      </w:r>
      <w:r>
        <w:t>Overall, how would you rate your experience of this recruitment process?</w:t>
      </w:r>
    </w:p>
    <w:p>
      <w:pPr>
        <w:spacing w:after="140"/>
      </w:pPr>
      <w:r>
        <w:t>Rating (1-5, NA, PN): ______</w:t>
      </w:r>
    </w:p>
    <w:p>
      <w:pPr>
        <w:spacing w:after="40"/>
      </w:pPr>
      <w:r>
        <w:rPr>
          <w:b/>
        </w:rPr>
        <w:t xml:space="preserve">C2  </w:t>
      </w:r>
      <w:r>
        <w:t>How would you rate the clarity of the information about the role?</w:t>
      </w:r>
    </w:p>
    <w:p>
      <w:pPr>
        <w:spacing w:after="140"/>
      </w:pPr>
      <w:r>
        <w:t>Rating (1-5, NA, PN): ______</w:t>
      </w:r>
    </w:p>
    <w:p>
      <w:pPr>
        <w:spacing w:after="40"/>
      </w:pPr>
      <w:r>
        <w:rPr>
          <w:b/>
        </w:rPr>
        <w:t xml:space="preserve">C3  </w:t>
      </w:r>
      <w:r>
        <w:t>How would you rate the timeliness of updates from the hiring team?</w:t>
      </w:r>
    </w:p>
    <w:p>
      <w:pPr>
        <w:spacing w:after="140"/>
      </w:pPr>
      <w:r>
        <w:t>Rating (1-5, NA, PN): ______</w:t>
      </w:r>
    </w:p>
    <w:p>
      <w:pPr>
        <w:spacing w:after="40"/>
      </w:pPr>
      <w:r>
        <w:rPr>
          <w:b/>
        </w:rPr>
        <w:t xml:space="preserve">C4  </w:t>
      </w:r>
      <w:r>
        <w:t>How would you rate the respect shown to you during the process?</w:t>
      </w:r>
    </w:p>
    <w:p>
      <w:pPr>
        <w:spacing w:after="140"/>
      </w:pPr>
      <w:r>
        <w:t>Rating (1-5, NA, PN): ______</w:t>
      </w:r>
    </w:p>
    <w:p>
      <w:pPr>
        <w:spacing w:after="40"/>
      </w:pPr>
      <w:r>
        <w:rPr>
          <w:b/>
        </w:rPr>
        <w:t xml:space="preserve">W1  </w:t>
      </w:r>
      <w:r>
        <w:t>How would you rate the clarity of the expected time commitment for the process?</w:t>
      </w:r>
    </w:p>
    <w:p>
      <w:pPr>
        <w:spacing w:after="140"/>
      </w:pPr>
      <w:r>
        <w:t>Rating (1-5, NA, PN): ______</w:t>
      </w:r>
    </w:p>
    <w:p>
      <w:pPr>
        <w:spacing w:after="40"/>
      </w:pPr>
      <w:r>
        <w:rPr>
          <w:b/>
        </w:rPr>
        <w:t xml:space="preserve">W2  </w:t>
      </w:r>
      <w:r>
        <w:t>How would you rate the response to your withdrawal?</w:t>
      </w:r>
    </w:p>
    <w:p>
      <w:pPr>
        <w:spacing w:after="140"/>
      </w:pPr>
      <w:r>
        <w:t>Rating (1-5, NA, PN): ______  Choose NA if you cannot judge the response.</w:t>
      </w:r>
    </w:p>
    <w:p>
      <w:pPr>
        <w:spacing w:after="40"/>
      </w:pPr>
      <w:r>
        <w:rPr>
          <w:b/>
        </w:rPr>
        <w:t xml:space="preserve">W3  </w:t>
      </w:r>
      <w:r>
        <w:t>What was the main reason you chose to withdraw?</w:t>
      </w:r>
    </w:p>
    <w:p>
      <w:pPr>
        <w:spacing w:after="60"/>
      </w:pPr>
      <w:r>
        <w:t>Choose one: Accepted another role | Role was not a match | Pay or benefits | Location or working arrangement | Time required by the process | Lack of updates | Personal circumstances | Other | Prefer not to answer</w:t>
      </w:r>
    </w:p>
    <w:p>
      <w:pPr>
        <w:spacing w:after="140"/>
      </w:pPr>
      <w:r>
        <w:t>Main reason: ______________________________</w:t>
      </w:r>
    </w:p>
    <w:p>
      <w:pPr>
        <w:spacing w:after="60"/>
      </w:pPr>
      <w:r>
        <w:rPr>
          <w:b/>
        </w:rPr>
        <w:t xml:space="preserve">O1  </w:t>
      </w:r>
      <w:r>
        <w:t>What is one thing we should keep?</w:t>
      </w:r>
    </w:p>
    <w:p>
      <w:pPr>
        <w:spacing w:after="120"/>
      </w:pPr>
      <w:r>
        <w:t>____________________________________________________________________</w:t>
      </w:r>
    </w:p>
    <w:p>
      <w:pPr>
        <w:spacing w:after="60"/>
      </w:pPr>
      <w:r>
        <w:rPr>
          <w:b/>
        </w:rPr>
        <w:t xml:space="preserve">O2  </w:t>
      </w:r>
      <w:r>
        <w:t>What is one thing we should change?</w:t>
      </w:r>
    </w:p>
    <w:p>
      <w:pPr>
        <w:spacing w:after="120"/>
      </w:pPr>
      <w:r>
        <w:t>____________________________________________________________________</w:t>
      </w:r>
    </w:p>
    <w:p>
      <w:pPr>
        <w:spacing w:after="0"/>
      </w:pPr>
      <w:r>
        <w:rPr>
          <w:sz w:val="18"/>
        </w:rPr>
        <w:t>Original editable template | Treegarden | October 14, 2026</w:t>
      </w:r>
    </w:p>
    <w:p>
      <w:r>
        <w:br w:type="page"/>
      </w:r>
    </w:p>
    <w:p>
      <w:pPr>
        <w:pStyle w:val="Heading1"/>
      </w:pPr>
      <w:r>
        <w:t>Distribution and invitation</w:t>
      </w:r>
    </w:p>
    <w:p>
      <w:pPr>
        <w:pStyle w:val="Heading2"/>
        <w:spacing w:after="120"/>
      </w:pPr>
      <w:r>
        <w:t>Set up the collection before sending</w:t>
      </w:r>
    </w:p>
    <w:p>
      <w:pPr>
        <w:spacing w:after="120"/>
      </w:pPr>
      <w:r>
        <w:t>[ ] Define the reporting period and eligible applications. Assign one snapshot group per application: rejected if employer-ended, withdrawn if candidate-ended, otherwise interviewed after an interview. Record stage reached separately.</w:t>
      </w:r>
    </w:p>
    <w:p>
      <w:pPr>
        <w:spacing w:after="120"/>
      </w:pPr>
      <w:r>
        <w:t>[ ] Use one invitation per application per period. Invite all eligible applications or document the sampling rule before collecting answers. Deduplicate reminders and repeated submissions with a pre-set rule.</w:t>
      </w:r>
    </w:p>
    <w:p>
      <w:pPr>
        <w:spacing w:after="120"/>
      </w:pPr>
      <w:r>
        <w:t>[ ] Use a separate accessible survey tool or manual method. Test mobile, keyboard access, screen-reader labels and skip behaviour. These templates do not imply Treegarden has native surveys.</w:t>
      </w:r>
    </w:p>
    <w:p>
      <w:pPr>
        <w:spacing w:after="120"/>
      </w:pPr>
      <w:r>
        <w:t>[ ] Explain actual access and retention. Do not call email replies or tracked links anonymous without checking the method. Keep identifiable responses away from selection decision-makers while an application is active.</w:t>
      </w:r>
    </w:p>
    <w:p>
      <w:pPr>
        <w:spacing w:after="120"/>
      </w:pPr>
      <w:r>
        <w:t>[ ] Suggested schedule: invite one or two business days after the milestone, close after ten days, and send at most one reminder after five to seven days. These are planning recommendations, not optimal timings established by research.</w:t>
      </w:r>
    </w:p>
    <w:p>
      <w:pPr>
        <w:spacing w:after="120"/>
      </w:pPr>
      <w:r>
        <w:t>[ ] Send rejection decisions and withdrawal acknowledgements first; invite feedback separately. Provide a monitored contact for concerns and redact identifying comments before sharing themes.</w:t>
      </w:r>
    </w:p>
    <w:p>
      <w:pPr>
        <w:pStyle w:val="Heading2"/>
      </w:pPr>
      <w:r>
        <w:t>Editable invitation</w:t>
      </w:r>
    </w:p>
    <w:p>
      <w:pPr>
        <w:spacing w:after="120"/>
      </w:pPr>
      <w:r>
        <w:t>Subject: Optional feedback on our recruitment process</w:t>
      </w:r>
    </w:p>
    <w:p>
      <w:pPr>
        <w:spacing w:after="120"/>
      </w:pPr>
      <w:r>
        <w:t>Thank you for the time you spent in our recruitment process. We would welcome feedback about the process itself. Taking part is optional, and you can skip any question. Your feedback will not be used to assess your application.</w:t>
      </w:r>
    </w:p>
    <w:p>
      <w:pPr>
        <w:spacing w:after="120"/>
      </w:pPr>
      <w:r>
        <w:t>Survey: [survey link]</w:t>
      </w:r>
    </w:p>
    <w:p>
      <w:pPr>
        <w:spacing w:after="120"/>
      </w:pPr>
      <w:r>
        <w:t>Closes: [date]</w:t>
      </w:r>
    </w:p>
    <w:p>
      <w:pPr>
        <w:spacing w:after="120"/>
      </w:pPr>
      <w:r>
        <w:t>Who can access responses and how long we keep them: [details]</w:t>
      </w:r>
    </w:p>
    <w:p>
      <w:pPr>
        <w:spacing w:after="120"/>
      </w:pPr>
      <w:r>
        <w:t>Privacy notice and questions: [URL and monitored contact]</w:t>
      </w:r>
    </w:p>
    <w:p>
      <w:pPr>
        <w:spacing w:after="120"/>
      </w:pPr>
      <w:r>
        <w:t>Please do not include names or sensitive personal details. Thank you for helping us identify what to keep and what to change.</w:t>
      </w:r>
    </w:p>
    <w:p>
      <w:pPr>
        <w:spacing w:after="120"/>
      </w:pPr>
      <w:r>
        <w:t>Replace all placeholders and put the stated separation from selection into practice. Keep feedback collection separate from marketing, referral requests and sales messages.</w:t>
      </w:r>
    </w:p>
    <w:p>
      <w:r>
        <w:br w:type="page"/>
      </w:r>
    </w:p>
    <w:p>
      <w:pPr>
        <w:pStyle w:val="Heading1"/>
      </w:pPr>
      <w:r>
        <w:t>Blank analysis worksheet</w:t>
      </w:r>
    </w:p>
    <w:p>
      <w:pPr>
        <w:spacing w:after="120"/>
      </w:pPr>
      <w:r>
        <w:t>Complete one copy per cohort and rating item. Cohort invitation and respondent counts must not be added across item worksheets. All entry spaces below are intentionally blank.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464"/>
        <w:gridCol w:w="5760"/>
      </w:tblGrid>
      <w:tr>
        <w:trPr>
          <w:tblHeader/>
          <w:cantSplit/>
        </w:trPr>
        <w:tc>
          <w:tcPr>
            <w:tcW w:type="dxa" w:w="4464"/>
            <w:vAlign w:val="center"/>
            <w:tcMar>
              <w:top w:w="90" w:type="dxa"/>
              <w:left w:w="90" w:type="dxa"/>
              <w:bottom w:w="90" w:type="dxa"/>
              <w:right w:w="90" w:type="dxa"/>
            </w:tcMar>
            <w:shd w:fill="EAF0F3"/>
          </w:tcPr>
          <w:p>
            <w:pPr>
              <w:spacing w:after="40" w:before="20" w:line="252" w:lineRule="auto"/>
            </w:pPr>
            <w:r>
              <w:rPr>
                <w:b/>
                <w:color w:val="000000"/>
                <w:sz w:val="21"/>
              </w:rPr>
              <w:t>Field</w:t>
            </w:r>
          </w:p>
        </w:tc>
        <w:tc>
          <w:tcPr>
            <w:tcW w:type="dxa" w:w="5760"/>
            <w:vAlign w:val="center"/>
            <w:tcMar>
              <w:top w:w="90" w:type="dxa"/>
              <w:left w:w="90" w:type="dxa"/>
              <w:bottom w:w="90" w:type="dxa"/>
              <w:right w:w="90" w:type="dxa"/>
            </w:tcMar>
            <w:shd w:fill="EAF0F3"/>
          </w:tcPr>
          <w:p>
            <w:pPr>
              <w:spacing w:after="40" w:before="20" w:line="252" w:lineRule="auto"/>
            </w:pPr>
            <w:r>
              <w:rPr>
                <w:b/>
                <w:color w:val="000000"/>
                <w:sz w:val="21"/>
              </w:rPr>
              <w:t>Entry</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Reporting period and questionnaire version</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Cohort and stage reached</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Unique eligible invited applications</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Undeliverable invitations</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Unique responding applications</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Operational response rate</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Rating item ID</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Counts for ratings 1 through 5</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NA count</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PN count</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Missing and invalid counts</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Favorable numerator</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Valid rating denominator</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Item favorable rate</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Themes and limitations</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r>
        <w:trPr>
          <w:cantSplit/>
        </w:trPr>
        <w:tc>
          <w:tcPr>
            <w:tcW w:type="dxa" w:w="4464"/>
            <w:vAlign w:val="center"/>
            <w:tcMar>
              <w:top w:w="90" w:type="dxa"/>
              <w:left w:w="90" w:type="dxa"/>
              <w:bottom w:w="90" w:type="dxa"/>
              <w:right w:w="90" w:type="dxa"/>
            </w:tcMar>
          </w:tcPr>
          <w:p>
            <w:pPr>
              <w:spacing w:after="40" w:before="20" w:line="252" w:lineRule="auto"/>
            </w:pPr>
            <w:r>
              <w:rPr>
                <w:b w:val="0"/>
                <w:color w:val="000000"/>
                <w:sz w:val="21"/>
              </w:rPr>
              <w:t>Action owner and review date</w:t>
            </w:r>
          </w:p>
        </w:tc>
        <w:tc>
          <w:tcPr>
            <w:tcW w:type="dxa" w:w="5760"/>
            <w:vAlign w:val="center"/>
            <w:tcMar>
              <w:top w:w="90" w:type="dxa"/>
              <w:left w:w="90" w:type="dxa"/>
              <w:bottom w:w="90" w:type="dxa"/>
              <w:right w:w="90" w:type="dxa"/>
            </w:tcMar>
          </w:tcPr>
          <w:p>
            <w:pPr>
              <w:spacing w:after="40" w:before="20" w:line="252" w:lineRule="auto"/>
            </w:pPr>
            <w:r>
              <w:rPr>
                <w:b w:val="0"/>
                <w:color w:val="000000"/>
                <w:sz w:val="21"/>
              </w:rPr>
              <w:t>_______________________________</w:t>
            </w:r>
          </w:p>
        </w:tc>
      </w:tr>
    </w:tbl>
    <w:p>
      <w:pPr>
        <w:spacing w:after="60"/>
      </w:pPr>
    </w:p>
    <w:p>
      <w:pPr>
        <w:spacing w:after="120"/>
      </w:pPr>
      <w:r>
        <w:t>Response rate: unique responding applications divided by unique eligible invited applications. Count a submission once if it contains at least one rating of 1-5, a reason other than PN, or a nonblank open response. NA/PN-only submissions and link opens do not count. Include partial substantive submissions. Keep bounced invitations in the denominator and report them separately.</w:t>
      </w:r>
    </w:p>
    <w:p>
      <w:pPr>
        <w:spacing w:after="120"/>
      </w:pPr>
      <w:r>
        <w:t>Item favorable rate: count of 4 or 5 divided by count of 1-5 for one item. Exclude and report NA, PN, missing and invalid values separately. A zero denominator is not calculable. Show all five rating counts. This operational response-rate definition is not an AAPOR-standardised estimate.</w:t>
      </w:r>
    </w:p>
    <w:p>
      <w:pPr>
        <w:spacing w:after="120"/>
      </w:pPr>
      <w:r>
        <w:t>Use stable item IDs and versions. Code open comments and withdrawal reasons separately. Keep raw responses restricted, report small samples honestly, and choose disclosure rules before sharing results.</w:t>
      </w:r>
    </w:p>
    <w:p>
      <w:r>
        <w:br w:type="page"/>
      </w:r>
    </w:p>
    <w:p>
      <w:pPr>
        <w:pStyle w:val="Heading1"/>
      </w:pPr>
      <w:r>
        <w:t>Fictional worked analysis</w:t>
      </w:r>
    </w:p>
    <w:p>
      <w:pPr>
        <w:spacing w:after="120"/>
      </w:pPr>
      <w:r>
        <w:t>All numbers and events below are fictional. They are not Treegarden customer results or benchmarks. Each application belongs to one snapshot group. All 120 invitations were deliverable; 48 applications submitted a substantive answer.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00"/>
        <w:gridCol w:w="1872"/>
        <w:gridCol w:w="2304"/>
        <w:gridCol w:w="2448"/>
      </w:tblGrid>
      <w:tr>
        <w:trPr>
          <w:tblHeader/>
          <w:cantSplit/>
        </w:trPr>
        <w:tc>
          <w:tcPr>
            <w:tcW w:type="dxa" w:w="3600"/>
            <w:vAlign w:val="center"/>
            <w:tcMar>
              <w:top w:w="90" w:type="dxa"/>
              <w:left w:w="90" w:type="dxa"/>
              <w:bottom w:w="90" w:type="dxa"/>
              <w:right w:w="90" w:type="dxa"/>
            </w:tcMar>
            <w:shd w:fill="EAF0F3"/>
          </w:tcPr>
          <w:p>
            <w:pPr>
              <w:spacing w:after="40" w:before="20" w:line="252" w:lineRule="auto"/>
            </w:pPr>
            <w:r>
              <w:rPr>
                <w:b/>
                <w:color w:val="000000"/>
                <w:sz w:val="21"/>
              </w:rPr>
              <w:t>Group</w:t>
            </w:r>
          </w:p>
        </w:tc>
        <w:tc>
          <w:tcPr>
            <w:tcW w:type="dxa" w:w="1872"/>
            <w:vAlign w:val="center"/>
            <w:tcMar>
              <w:top w:w="90" w:type="dxa"/>
              <w:left w:w="90" w:type="dxa"/>
              <w:bottom w:w="90" w:type="dxa"/>
              <w:right w:w="90" w:type="dxa"/>
            </w:tcMar>
            <w:shd w:fill="EAF0F3"/>
          </w:tcPr>
          <w:p>
            <w:pPr>
              <w:spacing w:after="40" w:before="20" w:line="252" w:lineRule="auto"/>
            </w:pPr>
            <w:r>
              <w:rPr>
                <w:b/>
                <w:color w:val="000000"/>
                <w:sz w:val="21"/>
              </w:rPr>
              <w:t>Invited</w:t>
            </w:r>
          </w:p>
        </w:tc>
        <w:tc>
          <w:tcPr>
            <w:tcW w:type="dxa" w:w="2304"/>
            <w:vAlign w:val="center"/>
            <w:tcMar>
              <w:top w:w="90" w:type="dxa"/>
              <w:left w:w="90" w:type="dxa"/>
              <w:bottom w:w="90" w:type="dxa"/>
              <w:right w:w="90" w:type="dxa"/>
            </w:tcMar>
            <w:shd w:fill="EAF0F3"/>
          </w:tcPr>
          <w:p>
            <w:pPr>
              <w:spacing w:after="40" w:before="20" w:line="252" w:lineRule="auto"/>
            </w:pPr>
            <w:r>
              <w:rPr>
                <w:b/>
                <w:color w:val="000000"/>
                <w:sz w:val="21"/>
              </w:rPr>
              <w:t>Responses</w:t>
            </w:r>
          </w:p>
        </w:tc>
        <w:tc>
          <w:tcPr>
            <w:tcW w:type="dxa" w:w="2448"/>
            <w:vAlign w:val="center"/>
            <w:tcMar>
              <w:top w:w="90" w:type="dxa"/>
              <w:left w:w="90" w:type="dxa"/>
              <w:bottom w:w="90" w:type="dxa"/>
              <w:right w:w="90" w:type="dxa"/>
            </w:tcMar>
            <w:shd w:fill="EAF0F3"/>
          </w:tcPr>
          <w:p>
            <w:pPr>
              <w:spacing w:after="40" w:before="20" w:line="252" w:lineRule="auto"/>
            </w:pPr>
            <w:r>
              <w:rPr>
                <w:b/>
                <w:color w:val="000000"/>
                <w:sz w:val="21"/>
              </w:rPr>
              <w:t>Response rate</w:t>
            </w:r>
          </w:p>
        </w:tc>
      </w:tr>
      <w:tr>
        <w:trPr>
          <w:cantSplit/>
        </w:trPr>
        <w:tc>
          <w:tcPr>
            <w:tcW w:type="dxa" w:w="3600"/>
            <w:vAlign w:val="center"/>
            <w:tcMar>
              <w:top w:w="90" w:type="dxa"/>
              <w:left w:w="90" w:type="dxa"/>
              <w:bottom w:w="90" w:type="dxa"/>
              <w:right w:w="90" w:type="dxa"/>
            </w:tcMar>
          </w:tcPr>
          <w:p>
            <w:pPr>
              <w:spacing w:after="40" w:before="20" w:line="252" w:lineRule="auto"/>
            </w:pPr>
            <w:r>
              <w:rPr>
                <w:b w:val="0"/>
                <w:color w:val="000000"/>
                <w:sz w:val="21"/>
              </w:rPr>
              <w:t>Interviewed</w:t>
            </w:r>
          </w:p>
        </w:tc>
        <w:tc>
          <w:tcPr>
            <w:tcW w:type="dxa" w:w="1872"/>
            <w:vAlign w:val="center"/>
            <w:tcMar>
              <w:top w:w="90" w:type="dxa"/>
              <w:left w:w="90" w:type="dxa"/>
              <w:bottom w:w="90" w:type="dxa"/>
              <w:right w:w="90" w:type="dxa"/>
            </w:tcMar>
          </w:tcPr>
          <w:p>
            <w:pPr>
              <w:spacing w:after="40" w:before="20" w:line="252" w:lineRule="auto"/>
            </w:pPr>
            <w:r>
              <w:rPr>
                <w:b w:val="0"/>
                <w:color w:val="000000"/>
                <w:sz w:val="21"/>
              </w:rPr>
              <w:t>40</w:t>
            </w:r>
          </w:p>
        </w:tc>
        <w:tc>
          <w:tcPr>
            <w:tcW w:type="dxa" w:w="2304"/>
            <w:vAlign w:val="center"/>
            <w:tcMar>
              <w:top w:w="90" w:type="dxa"/>
              <w:left w:w="90" w:type="dxa"/>
              <w:bottom w:w="90" w:type="dxa"/>
              <w:right w:w="90" w:type="dxa"/>
            </w:tcMar>
          </w:tcPr>
          <w:p>
            <w:pPr>
              <w:spacing w:after="40" w:before="20" w:line="252" w:lineRule="auto"/>
            </w:pPr>
            <w:r>
              <w:rPr>
                <w:b w:val="0"/>
                <w:color w:val="000000"/>
                <w:sz w:val="21"/>
              </w:rPr>
              <w:t>20</w:t>
            </w:r>
          </w:p>
        </w:tc>
        <w:tc>
          <w:tcPr>
            <w:tcW w:type="dxa" w:w="2448"/>
            <w:vAlign w:val="center"/>
            <w:tcMar>
              <w:top w:w="90" w:type="dxa"/>
              <w:left w:w="90" w:type="dxa"/>
              <w:bottom w:w="90" w:type="dxa"/>
              <w:right w:w="90" w:type="dxa"/>
            </w:tcMar>
          </w:tcPr>
          <w:p>
            <w:pPr>
              <w:spacing w:after="40" w:before="20" w:line="252" w:lineRule="auto"/>
            </w:pPr>
            <w:r>
              <w:rPr>
                <w:b w:val="0"/>
                <w:color w:val="000000"/>
                <w:sz w:val="21"/>
              </w:rPr>
              <w:t>50.0%</w:t>
            </w:r>
          </w:p>
        </w:tc>
      </w:tr>
      <w:tr>
        <w:trPr>
          <w:cantSplit/>
        </w:trPr>
        <w:tc>
          <w:tcPr>
            <w:tcW w:type="dxa" w:w="3600"/>
            <w:vAlign w:val="center"/>
            <w:tcMar>
              <w:top w:w="90" w:type="dxa"/>
              <w:left w:w="90" w:type="dxa"/>
              <w:bottom w:w="90" w:type="dxa"/>
              <w:right w:w="90" w:type="dxa"/>
            </w:tcMar>
          </w:tcPr>
          <w:p>
            <w:pPr>
              <w:spacing w:after="40" w:before="20" w:line="252" w:lineRule="auto"/>
            </w:pPr>
            <w:r>
              <w:rPr>
                <w:b w:val="0"/>
                <w:color w:val="000000"/>
                <w:sz w:val="21"/>
              </w:rPr>
              <w:t>Rejected</w:t>
            </w:r>
          </w:p>
        </w:tc>
        <w:tc>
          <w:tcPr>
            <w:tcW w:type="dxa" w:w="1872"/>
            <w:vAlign w:val="center"/>
            <w:tcMar>
              <w:top w:w="90" w:type="dxa"/>
              <w:left w:w="90" w:type="dxa"/>
              <w:bottom w:w="90" w:type="dxa"/>
              <w:right w:w="90" w:type="dxa"/>
            </w:tcMar>
          </w:tcPr>
          <w:p>
            <w:pPr>
              <w:spacing w:after="40" w:before="20" w:line="252" w:lineRule="auto"/>
            </w:pPr>
            <w:r>
              <w:rPr>
                <w:b w:val="0"/>
                <w:color w:val="000000"/>
                <w:sz w:val="21"/>
              </w:rPr>
              <w:t>60</w:t>
            </w:r>
          </w:p>
        </w:tc>
        <w:tc>
          <w:tcPr>
            <w:tcW w:type="dxa" w:w="2304"/>
            <w:vAlign w:val="center"/>
            <w:tcMar>
              <w:top w:w="90" w:type="dxa"/>
              <w:left w:w="90" w:type="dxa"/>
              <w:bottom w:w="90" w:type="dxa"/>
              <w:right w:w="90" w:type="dxa"/>
            </w:tcMar>
          </w:tcPr>
          <w:p>
            <w:pPr>
              <w:spacing w:after="40" w:before="20" w:line="252" w:lineRule="auto"/>
            </w:pPr>
            <w:r>
              <w:rPr>
                <w:b w:val="0"/>
                <w:color w:val="000000"/>
                <w:sz w:val="21"/>
              </w:rPr>
              <w:t>18</w:t>
            </w:r>
          </w:p>
        </w:tc>
        <w:tc>
          <w:tcPr>
            <w:tcW w:type="dxa" w:w="2448"/>
            <w:vAlign w:val="center"/>
            <w:tcMar>
              <w:top w:w="90" w:type="dxa"/>
              <w:left w:w="90" w:type="dxa"/>
              <w:bottom w:w="90" w:type="dxa"/>
              <w:right w:w="90" w:type="dxa"/>
            </w:tcMar>
          </w:tcPr>
          <w:p>
            <w:pPr>
              <w:spacing w:after="40" w:before="20" w:line="252" w:lineRule="auto"/>
            </w:pPr>
            <w:r>
              <w:rPr>
                <w:b w:val="0"/>
                <w:color w:val="000000"/>
                <w:sz w:val="21"/>
              </w:rPr>
              <w:t>30.0%</w:t>
            </w:r>
          </w:p>
        </w:tc>
      </w:tr>
      <w:tr>
        <w:trPr>
          <w:cantSplit/>
        </w:trPr>
        <w:tc>
          <w:tcPr>
            <w:tcW w:type="dxa" w:w="3600"/>
            <w:vAlign w:val="center"/>
            <w:tcMar>
              <w:top w:w="90" w:type="dxa"/>
              <w:left w:w="90" w:type="dxa"/>
              <w:bottom w:w="90" w:type="dxa"/>
              <w:right w:w="90" w:type="dxa"/>
            </w:tcMar>
          </w:tcPr>
          <w:p>
            <w:pPr>
              <w:spacing w:after="40" w:before="20" w:line="252" w:lineRule="auto"/>
            </w:pPr>
            <w:r>
              <w:rPr>
                <w:b w:val="0"/>
                <w:color w:val="000000"/>
                <w:sz w:val="21"/>
              </w:rPr>
              <w:t>Withdrawn</w:t>
            </w:r>
          </w:p>
        </w:tc>
        <w:tc>
          <w:tcPr>
            <w:tcW w:type="dxa" w:w="1872"/>
            <w:vAlign w:val="center"/>
            <w:tcMar>
              <w:top w:w="90" w:type="dxa"/>
              <w:left w:w="90" w:type="dxa"/>
              <w:bottom w:w="90" w:type="dxa"/>
              <w:right w:w="90" w:type="dxa"/>
            </w:tcMar>
          </w:tcPr>
          <w:p>
            <w:pPr>
              <w:spacing w:after="40" w:before="20" w:line="252" w:lineRule="auto"/>
            </w:pPr>
            <w:r>
              <w:rPr>
                <w:b w:val="0"/>
                <w:color w:val="000000"/>
                <w:sz w:val="21"/>
              </w:rPr>
              <w:t>20</w:t>
            </w:r>
          </w:p>
        </w:tc>
        <w:tc>
          <w:tcPr>
            <w:tcW w:type="dxa" w:w="2304"/>
            <w:vAlign w:val="center"/>
            <w:tcMar>
              <w:top w:w="90" w:type="dxa"/>
              <w:left w:w="90" w:type="dxa"/>
              <w:bottom w:w="90" w:type="dxa"/>
              <w:right w:w="90" w:type="dxa"/>
            </w:tcMar>
          </w:tcPr>
          <w:p>
            <w:pPr>
              <w:spacing w:after="40" w:before="20" w:line="252" w:lineRule="auto"/>
            </w:pPr>
            <w:r>
              <w:rPr>
                <w:b w:val="0"/>
                <w:color w:val="000000"/>
                <w:sz w:val="21"/>
              </w:rPr>
              <w:t>10</w:t>
            </w:r>
          </w:p>
        </w:tc>
        <w:tc>
          <w:tcPr>
            <w:tcW w:type="dxa" w:w="2448"/>
            <w:vAlign w:val="center"/>
            <w:tcMar>
              <w:top w:w="90" w:type="dxa"/>
              <w:left w:w="90" w:type="dxa"/>
              <w:bottom w:w="90" w:type="dxa"/>
              <w:right w:w="90" w:type="dxa"/>
            </w:tcMar>
          </w:tcPr>
          <w:p>
            <w:pPr>
              <w:spacing w:after="40" w:before="20" w:line="252" w:lineRule="auto"/>
            </w:pPr>
            <w:r>
              <w:rPr>
                <w:b w:val="0"/>
                <w:color w:val="000000"/>
                <w:sz w:val="21"/>
              </w:rPr>
              <w:t>50.0%</w:t>
            </w:r>
          </w:p>
        </w:tc>
      </w:tr>
    </w:tbl>
    <w:p>
      <w:pPr>
        <w:spacing w:after="60"/>
      </w:pPr>
    </w:p>
    <w:p>
      <w:pPr>
        <w:spacing w:after="120"/>
      </w:pPr>
      <w:r>
        <w:t>C3 asks about the timeliness of updates. Ratings and excluded answers reconcile to the responding applications in each group.</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880"/>
        <w:gridCol w:w="2736"/>
        <w:gridCol w:w="2592"/>
      </w:tblGrid>
      <w:tr>
        <w:trPr>
          <w:tblHeader/>
          <w:cantSplit/>
        </w:trPr>
        <w:tc>
          <w:tcPr>
            <w:tcW w:type="dxa" w:w="2016"/>
            <w:vAlign w:val="center"/>
            <w:tcMar>
              <w:top w:w="90" w:type="dxa"/>
              <w:left w:w="90" w:type="dxa"/>
              <w:bottom w:w="90" w:type="dxa"/>
              <w:right w:w="90" w:type="dxa"/>
            </w:tcMar>
            <w:shd w:fill="EAF0F3"/>
          </w:tcPr>
          <w:p>
            <w:pPr>
              <w:spacing w:after="40" w:before="20" w:line="252" w:lineRule="auto"/>
            </w:pPr>
            <w:r>
              <w:rPr>
                <w:b/>
                <w:color w:val="000000"/>
                <w:sz w:val="21"/>
              </w:rPr>
              <w:t>Group</w:t>
            </w:r>
          </w:p>
        </w:tc>
        <w:tc>
          <w:tcPr>
            <w:tcW w:type="dxa" w:w="2880"/>
            <w:vAlign w:val="center"/>
            <w:tcMar>
              <w:top w:w="90" w:type="dxa"/>
              <w:left w:w="90" w:type="dxa"/>
              <w:bottom w:w="90" w:type="dxa"/>
              <w:right w:w="90" w:type="dxa"/>
            </w:tcMar>
            <w:shd w:fill="EAF0F3"/>
          </w:tcPr>
          <w:p>
            <w:pPr>
              <w:spacing w:after="40" w:before="20" w:line="252" w:lineRule="auto"/>
            </w:pPr>
            <w:r>
              <w:rPr>
                <w:b/>
                <w:color w:val="000000"/>
                <w:sz w:val="21"/>
              </w:rPr>
              <w:t>Ratings 1 / 2 / 3 / 4 / 5</w:t>
            </w:r>
          </w:p>
        </w:tc>
        <w:tc>
          <w:tcPr>
            <w:tcW w:type="dxa" w:w="2736"/>
            <w:vAlign w:val="center"/>
            <w:tcMar>
              <w:top w:w="90" w:type="dxa"/>
              <w:left w:w="90" w:type="dxa"/>
              <w:bottom w:w="90" w:type="dxa"/>
              <w:right w:w="90" w:type="dxa"/>
            </w:tcMar>
            <w:shd w:fill="EAF0F3"/>
          </w:tcPr>
          <w:p>
            <w:pPr>
              <w:spacing w:after="40" w:before="20" w:line="252" w:lineRule="auto"/>
            </w:pPr>
            <w:r>
              <w:rPr>
                <w:b/>
                <w:color w:val="000000"/>
                <w:sz w:val="21"/>
              </w:rPr>
              <w:t>NA / PN / missing / invalid</w:t>
            </w:r>
          </w:p>
        </w:tc>
        <w:tc>
          <w:tcPr>
            <w:tcW w:type="dxa" w:w="2592"/>
            <w:vAlign w:val="center"/>
            <w:tcMar>
              <w:top w:w="90" w:type="dxa"/>
              <w:left w:w="90" w:type="dxa"/>
              <w:bottom w:w="90" w:type="dxa"/>
              <w:right w:w="90" w:type="dxa"/>
            </w:tcMar>
            <w:shd w:fill="EAF0F3"/>
          </w:tcPr>
          <w:p>
            <w:pPr>
              <w:spacing w:after="40" w:before="20" w:line="252" w:lineRule="auto"/>
            </w:pPr>
            <w:r>
              <w:rPr>
                <w:b/>
                <w:color w:val="000000"/>
                <w:sz w:val="21"/>
              </w:rPr>
              <w:t>Favorable / valid</w:t>
            </w:r>
          </w:p>
        </w:tc>
      </w:tr>
      <w:tr>
        <w:trPr>
          <w:cantSplit/>
        </w:trPr>
        <w:tc>
          <w:tcPr>
            <w:tcW w:type="dxa" w:w="2016"/>
            <w:vAlign w:val="center"/>
            <w:tcMar>
              <w:top w:w="90" w:type="dxa"/>
              <w:left w:w="90" w:type="dxa"/>
              <w:bottom w:w="90" w:type="dxa"/>
              <w:right w:w="90" w:type="dxa"/>
            </w:tcMar>
          </w:tcPr>
          <w:p>
            <w:pPr>
              <w:spacing w:after="40" w:before="20" w:line="252" w:lineRule="auto"/>
            </w:pPr>
            <w:r>
              <w:rPr>
                <w:b w:val="0"/>
                <w:color w:val="000000"/>
                <w:sz w:val="21"/>
              </w:rPr>
              <w:t>Interviewed</w:t>
            </w:r>
          </w:p>
        </w:tc>
        <w:tc>
          <w:tcPr>
            <w:tcW w:type="dxa" w:w="2880"/>
            <w:vAlign w:val="center"/>
            <w:tcMar>
              <w:top w:w="90" w:type="dxa"/>
              <w:left w:w="90" w:type="dxa"/>
              <w:bottom w:w="90" w:type="dxa"/>
              <w:right w:w="90" w:type="dxa"/>
            </w:tcMar>
          </w:tcPr>
          <w:p>
            <w:pPr>
              <w:spacing w:after="40" w:before="20" w:line="252" w:lineRule="auto"/>
            </w:pPr>
            <w:r>
              <w:rPr>
                <w:b w:val="0"/>
                <w:color w:val="000000"/>
                <w:sz w:val="21"/>
              </w:rPr>
              <w:t>2 / 3 / 4 / 6 / 3</w:t>
            </w:r>
          </w:p>
        </w:tc>
        <w:tc>
          <w:tcPr>
            <w:tcW w:type="dxa" w:w="2736"/>
            <w:vAlign w:val="center"/>
            <w:tcMar>
              <w:top w:w="90" w:type="dxa"/>
              <w:left w:w="90" w:type="dxa"/>
              <w:bottom w:w="90" w:type="dxa"/>
              <w:right w:w="90" w:type="dxa"/>
            </w:tcMar>
          </w:tcPr>
          <w:p>
            <w:pPr>
              <w:spacing w:after="40" w:before="20" w:line="252" w:lineRule="auto"/>
            </w:pPr>
            <w:r>
              <w:rPr>
                <w:b w:val="0"/>
                <w:color w:val="000000"/>
                <w:sz w:val="21"/>
              </w:rPr>
              <w:t>1 / 0 / 1 / 0</w:t>
            </w:r>
          </w:p>
        </w:tc>
        <w:tc>
          <w:tcPr>
            <w:tcW w:type="dxa" w:w="2592"/>
            <w:vAlign w:val="center"/>
            <w:tcMar>
              <w:top w:w="90" w:type="dxa"/>
              <w:left w:w="90" w:type="dxa"/>
              <w:bottom w:w="90" w:type="dxa"/>
              <w:right w:w="90" w:type="dxa"/>
            </w:tcMar>
          </w:tcPr>
          <w:p>
            <w:pPr>
              <w:spacing w:after="40" w:before="20" w:line="252" w:lineRule="auto"/>
            </w:pPr>
            <w:r>
              <w:rPr>
                <w:b w:val="0"/>
                <w:color w:val="000000"/>
                <w:sz w:val="21"/>
              </w:rPr>
              <w:t>9 / 18 = 50.0%</w:t>
            </w:r>
          </w:p>
        </w:tc>
      </w:tr>
      <w:tr>
        <w:trPr>
          <w:cantSplit/>
        </w:trPr>
        <w:tc>
          <w:tcPr>
            <w:tcW w:type="dxa" w:w="2016"/>
            <w:vAlign w:val="center"/>
            <w:tcMar>
              <w:top w:w="90" w:type="dxa"/>
              <w:left w:w="90" w:type="dxa"/>
              <w:bottom w:w="90" w:type="dxa"/>
              <w:right w:w="90" w:type="dxa"/>
            </w:tcMar>
          </w:tcPr>
          <w:p>
            <w:pPr>
              <w:spacing w:after="40" w:before="20" w:line="252" w:lineRule="auto"/>
            </w:pPr>
            <w:r>
              <w:rPr>
                <w:b w:val="0"/>
                <w:color w:val="000000"/>
                <w:sz w:val="21"/>
              </w:rPr>
              <w:t>Rejected</w:t>
            </w:r>
          </w:p>
        </w:tc>
        <w:tc>
          <w:tcPr>
            <w:tcW w:type="dxa" w:w="2880"/>
            <w:vAlign w:val="center"/>
            <w:tcMar>
              <w:top w:w="90" w:type="dxa"/>
              <w:left w:w="90" w:type="dxa"/>
              <w:bottom w:w="90" w:type="dxa"/>
              <w:right w:w="90" w:type="dxa"/>
            </w:tcMar>
          </w:tcPr>
          <w:p>
            <w:pPr>
              <w:spacing w:after="40" w:before="20" w:line="252" w:lineRule="auto"/>
            </w:pPr>
            <w:r>
              <w:rPr>
                <w:b w:val="0"/>
                <w:color w:val="000000"/>
                <w:sz w:val="21"/>
              </w:rPr>
              <w:t>4 / 3 / 2 / 4 / 2</w:t>
            </w:r>
          </w:p>
        </w:tc>
        <w:tc>
          <w:tcPr>
            <w:tcW w:type="dxa" w:w="2736"/>
            <w:vAlign w:val="center"/>
            <w:tcMar>
              <w:top w:w="90" w:type="dxa"/>
              <w:left w:w="90" w:type="dxa"/>
              <w:bottom w:w="90" w:type="dxa"/>
              <w:right w:w="90" w:type="dxa"/>
            </w:tcMar>
          </w:tcPr>
          <w:p>
            <w:pPr>
              <w:spacing w:after="40" w:before="20" w:line="252" w:lineRule="auto"/>
            </w:pPr>
            <w:r>
              <w:rPr>
                <w:b w:val="0"/>
                <w:color w:val="000000"/>
                <w:sz w:val="21"/>
              </w:rPr>
              <w:t>1 / 1 / 1 / 0</w:t>
            </w:r>
          </w:p>
        </w:tc>
        <w:tc>
          <w:tcPr>
            <w:tcW w:type="dxa" w:w="2592"/>
            <w:vAlign w:val="center"/>
            <w:tcMar>
              <w:top w:w="90" w:type="dxa"/>
              <w:left w:w="90" w:type="dxa"/>
              <w:bottom w:w="90" w:type="dxa"/>
              <w:right w:w="90" w:type="dxa"/>
            </w:tcMar>
          </w:tcPr>
          <w:p>
            <w:pPr>
              <w:spacing w:after="40" w:before="20" w:line="252" w:lineRule="auto"/>
            </w:pPr>
            <w:r>
              <w:rPr>
                <w:b w:val="0"/>
                <w:color w:val="000000"/>
                <w:sz w:val="21"/>
              </w:rPr>
              <w:t>6 / 15 = 40.0%</w:t>
            </w:r>
          </w:p>
        </w:tc>
      </w:tr>
      <w:tr>
        <w:trPr>
          <w:cantSplit/>
        </w:trPr>
        <w:tc>
          <w:tcPr>
            <w:tcW w:type="dxa" w:w="2016"/>
            <w:vAlign w:val="center"/>
            <w:tcMar>
              <w:top w:w="90" w:type="dxa"/>
              <w:left w:w="90" w:type="dxa"/>
              <w:bottom w:w="90" w:type="dxa"/>
              <w:right w:w="90" w:type="dxa"/>
            </w:tcMar>
          </w:tcPr>
          <w:p>
            <w:pPr>
              <w:spacing w:after="40" w:before="20" w:line="252" w:lineRule="auto"/>
            </w:pPr>
            <w:r>
              <w:rPr>
                <w:b w:val="0"/>
                <w:color w:val="000000"/>
                <w:sz w:val="21"/>
              </w:rPr>
              <w:t>Withdrawn</w:t>
            </w:r>
          </w:p>
        </w:tc>
        <w:tc>
          <w:tcPr>
            <w:tcW w:type="dxa" w:w="2880"/>
            <w:vAlign w:val="center"/>
            <w:tcMar>
              <w:top w:w="90" w:type="dxa"/>
              <w:left w:w="90" w:type="dxa"/>
              <w:bottom w:w="90" w:type="dxa"/>
              <w:right w:w="90" w:type="dxa"/>
            </w:tcMar>
          </w:tcPr>
          <w:p>
            <w:pPr>
              <w:spacing w:after="40" w:before="20" w:line="252" w:lineRule="auto"/>
            </w:pPr>
            <w:r>
              <w:rPr>
                <w:b w:val="0"/>
                <w:color w:val="000000"/>
                <w:sz w:val="21"/>
              </w:rPr>
              <w:t>3 / 2 / 1 / 1 / 1</w:t>
            </w:r>
          </w:p>
        </w:tc>
        <w:tc>
          <w:tcPr>
            <w:tcW w:type="dxa" w:w="2736"/>
            <w:vAlign w:val="center"/>
            <w:tcMar>
              <w:top w:w="90" w:type="dxa"/>
              <w:left w:w="90" w:type="dxa"/>
              <w:bottom w:w="90" w:type="dxa"/>
              <w:right w:w="90" w:type="dxa"/>
            </w:tcMar>
          </w:tcPr>
          <w:p>
            <w:pPr>
              <w:spacing w:after="40" w:before="20" w:line="252" w:lineRule="auto"/>
            </w:pPr>
            <w:r>
              <w:rPr>
                <w:b w:val="0"/>
                <w:color w:val="000000"/>
                <w:sz w:val="21"/>
              </w:rPr>
              <w:t>1 / 0 / 1 / 0</w:t>
            </w:r>
          </w:p>
        </w:tc>
        <w:tc>
          <w:tcPr>
            <w:tcW w:type="dxa" w:w="2592"/>
            <w:vAlign w:val="center"/>
            <w:tcMar>
              <w:top w:w="90" w:type="dxa"/>
              <w:left w:w="90" w:type="dxa"/>
              <w:bottom w:w="90" w:type="dxa"/>
              <w:right w:w="90" w:type="dxa"/>
            </w:tcMar>
          </w:tcPr>
          <w:p>
            <w:pPr>
              <w:spacing w:after="40" w:before="20" w:line="252" w:lineRule="auto"/>
            </w:pPr>
            <w:r>
              <w:rPr>
                <w:b w:val="0"/>
                <w:color w:val="000000"/>
                <w:sz w:val="21"/>
              </w:rPr>
              <w:t>2 / 8 = 25.0%</w:t>
            </w:r>
          </w:p>
        </w:tc>
      </w:tr>
    </w:tbl>
    <w:p>
      <w:pPr>
        <w:spacing w:after="60"/>
      </w:pPr>
    </w:p>
    <w:p>
      <w:pPr>
        <w:spacing w:after="120"/>
      </w:pPr>
      <w:r>
        <w:t>Overall response rate is 48 / 120 = 40.0%. The combined C3 favorable rate is 17 / 41 = 41.5%, not 17 / 48. The seven exclusions are three NA, one PN and three missing answers. Add item numerators and denominators, not the group percentages; retain separate group results.</w:t>
      </w:r>
    </w:p>
    <w:p>
      <w:pPr>
        <w:spacing w:after="120"/>
      </w:pPr>
      <w:r>
        <w:t>R2 feedback usefulness: of 18 rejected respondents, five gave valid ratings (one each of 1, 2, 3, 4 and 5), ten selected NA, one PN and two skipped. Favorable is 2 / 5 = 40.0%. One person would change that rate by twenty percentage points. Avoid ranking this tiny subgroup. NA can mean no feedback or inability to judge, so it does not prove feedback was withheld.</w:t>
      </w:r>
    </w:p>
    <w:p>
      <w:pPr>
        <w:spacing w:after="120"/>
      </w:pPr>
      <w:r>
        <w:t>W3 withdrawal reason: another role (4), role not a match (2), time required by the process (2), lack of updates (1), PN (1). Nine of ten respondents gave a substantive reason. These are not the reasons of all twenty invited applications, and a main-reason question does not establish a single cause.</w:t>
      </w:r>
    </w:p>
    <w:p>
      <w:pPr>
        <w:spacing w:after="120"/>
      </w:pPr>
      <w:r>
        <w:t>These voluntary answers describe respondents, not all candidates. Review coverage and stage mix before comparing periods. Do not use universal targets, league tables for tiny groups, or a claimed sampling margin of error for an opt-in collection.</w:t>
      </w:r>
    </w:p>
    <w:p>
      <w:r>
        <w:br w:type="page"/>
      </w:r>
    </w:p>
    <w:p>
      <w:pPr>
        <w:pStyle w:val="Heading1"/>
      </w:pPr>
      <w:r>
        <w:t>Actions and source notes</w:t>
      </w:r>
    </w:p>
    <w:p>
      <w:pPr>
        <w:pStyle w:val="Heading2"/>
        <w:spacing w:after="120"/>
      </w:pPr>
      <w:r>
        <w:t>Suggested actions for the fictional example</w:t>
      </w:r>
    </w:p>
    <w:p>
      <w:pPr>
        <w:spacing w:after="120"/>
      </w:pPr>
      <w:r>
        <w:t>Recruiting operations: audit promised update dates against sent-message timestamps. Distinguish late updates, delivery failures and unclear messages before naming a cause.</w:t>
      </w:r>
    </w:p>
    <w:p>
      <w:pPr>
        <w:spacing w:after="120"/>
      </w:pPr>
      <w:r>
        <w:t>Hiring manager and recruiter: record an update owner and realistic next-update date at each interview milestone, including when the debrief has not reached a decision.</w:t>
      </w:r>
    </w:p>
    <w:p>
      <w:pPr>
        <w:spacing w:after="120"/>
      </w:pPr>
      <w:r>
        <w:t>Candidate communications owner: review rejection wording and whether feedback is offered consistently at the same stage. Do not infer that all ten NA answers mean no feedback was received.</w:t>
      </w:r>
    </w:p>
    <w:p>
      <w:pPr>
        <w:spacing w:after="120"/>
      </w:pPr>
      <w:r>
        <w:t>Process owner: inspect the workload behind the two time-commitment withdrawal reasons and how it was explained. Do not redesign the whole assessment on two answers alone.</w:t>
      </w:r>
    </w:p>
    <w:p>
      <w:pPr>
        <w:spacing w:after="120"/>
      </w:pPr>
      <w:r>
        <w:t>Survey owner: record the change, owner and review date. Keep questions and timing comparable in the next cohort. Compare operational evidence as well as rating counts; a percentage increase alone does not prove causation.</w:t>
      </w:r>
    </w:p>
    <w:p>
      <w:pPr>
        <w:pStyle w:val="Heading2"/>
      </w:pPr>
      <w:r>
        <w:t>Blank action record</w:t>
      </w:r>
    </w:p>
    <w:p>
      <w:pPr>
        <w:spacing w:after="120"/>
      </w:pPr>
      <w:r>
        <w:t>Evidence to inspect: ____________________________________________________</w:t>
      </w:r>
    </w:p>
    <w:p>
      <w:pPr>
        <w:spacing w:after="120"/>
      </w:pPr>
      <w:r>
        <w:t>Process change: _______________________________________________________</w:t>
      </w:r>
    </w:p>
    <w:p>
      <w:pPr>
        <w:spacing w:after="120"/>
      </w:pPr>
      <w:r>
        <w:t>Owner and review date: __________________________________________________</w:t>
      </w:r>
    </w:p>
    <w:p>
      <w:pPr>
        <w:pStyle w:val="Heading2"/>
      </w:pPr>
      <w:r>
        <w:t>Primary sources checked October 14 2026</w:t>
      </w:r>
    </w:p>
    <w:p>
      <w:pPr>
        <w:spacing w:after="40"/>
      </w:pPr>
      <w:r>
        <w:rPr>
          <w:sz w:val="20"/>
        </w:rPr>
        <w:t>Best Practices for Survey Research: Question design, response options, transparent reporting and confidentiality; not certification of these original templates.</w:t>
      </w:r>
    </w:p>
    <w:p>
      <w:pPr>
        <w:spacing w:after="120"/>
      </w:pPr>
      <w:r>
        <w:rPr>
          <w:sz w:val="18"/>
        </w:rPr>
        <w:t>https://aapor.org/standards-and-ethics/best-practices/</w:t>
      </w:r>
    </w:p>
    <w:p>
      <w:pPr>
        <w:spacing w:after="40"/>
      </w:pPr>
      <w:r>
        <w:rPr>
          <w:sz w:val="20"/>
        </w:rPr>
        <w:t>Writing Survey Questions: Pretesting, wording, response options, question order and comparability across waves.</w:t>
      </w:r>
    </w:p>
    <w:p>
      <w:pPr>
        <w:spacing w:after="120"/>
      </w:pPr>
      <w:r>
        <w:rPr>
          <w:sz w:val="18"/>
        </w:rPr>
        <w:t>https://www.pewresearch.org/writing-survey-questions/</w:t>
      </w:r>
    </w:p>
    <w:p>
      <w:pPr>
        <w:spacing w:after="40"/>
      </w:pPr>
      <w:r>
        <w:rPr>
          <w:sz w:val="20"/>
        </w:rPr>
        <w:t>Structured Interviews: Predetermined job-related questions and consistent rating standards; separate selection evidence from feedback.</w:t>
      </w:r>
    </w:p>
    <w:p>
      <w:pPr>
        <w:spacing w:after="120"/>
      </w:pPr>
      <w:r>
        <w:rPr>
          <w:sz w:val="18"/>
        </w:rPr>
        <w:t>https://www.opm.gov/policy-data-oversight/assessment-and-selection/structured-interviews/</w:t>
      </w:r>
    </w:p>
    <w:p>
      <w:pPr>
        <w:spacing w:after="40"/>
      </w:pPr>
      <w:r>
        <w:rPr>
          <w:sz w:val="20"/>
        </w:rPr>
        <w:t>Structured Interviews A Practical Guide: Interview design, administration and documentation; September 2008 guide, not new 2026 research.</w:t>
      </w:r>
    </w:p>
    <w:p>
      <w:pPr>
        <w:spacing w:after="120"/>
      </w:pPr>
      <w:r>
        <w:rPr>
          <w:sz w:val="18"/>
        </w:rPr>
        <w:t>https://www.opm.gov/policy-data-oversight/assessment-and-selection/structured-interviews/guide.pdf</w:t>
      </w:r>
    </w:p>
    <w:p>
      <w:pPr>
        <w:spacing w:after="40"/>
      </w:pPr>
      <w:r>
        <w:rPr>
          <w:sz w:val="20"/>
        </w:rPr>
        <w:t>Employment Tests and Selection Procedures: US selection guidance and job-related selection; satisfaction feedback is not a fairness audit.</w:t>
      </w:r>
    </w:p>
    <w:p>
      <w:pPr>
        <w:spacing w:after="120"/>
      </w:pPr>
      <w:r>
        <w:rPr>
          <w:sz w:val="18"/>
        </w:rPr>
        <w:t>https://www.eeoc.gov/laws/guidance/employment-tests-and-selection-procedures</w:t>
      </w:r>
    </w:p>
    <w:p>
      <w:pPr>
        <w:spacing w:after="0"/>
      </w:pPr>
      <w:r>
        <w:t>The questionnaires, invitation, worksheet and fictional example are Treegarden originals, not validated survey instruments. Keep process feedback out of candidate assessment. Selection fairness needs a separate review. Treegarden sells ATS and HR software and has a commercial interest in recruitment workflows; these templates make no native-survey claim.</w:t>
      </w:r>
    </w:p>
    <w:sectPr w:rsidR="00FC693F" w:rsidRPr="0006063C" w:rsidSect="00034616">
      <w:headerReference w:type="default" r:id="rId9"/>
      <w:footerReference w:type="default" r:id="rId10"/>
      <w:pgSz w:w="12240" w:h="15840"/>
      <w:pgMar w:top="864"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Treegarden | Editable hiring resource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Treegarden ATS + HR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experience survey</dc:title>
  <dc:subject>Editable questionnaires and analysis worksheet</dc:subject>
  <dc:creator>Treegarden</dc:creator>
  <cp:keywords/>
  <dc:description/>
  <cp:lastModifiedBy>Treegarden</cp:lastModifiedBy>
  <cp:revision>1</cp:revision>
  <dcterms:created xsi:type="dcterms:W3CDTF">2026-10-14T00:00:00Z</dcterms:created>
  <dcterms:modified xsi:type="dcterms:W3CDTF">2026-10-14T00:00:00Z</dcterms:modified>
  <cp:category/>
</cp:coreProperties>
</file>