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Hiring Manager Intake Form</w:t>
      </w:r>
    </w:p>
    <w:p>
      <w:r>
        <w:t>Blank working template. This meeting aligns hiring requirements; it does not replace headcount or compensation approval. Complete with the recruiter and hiring manager.</w:t>
      </w:r>
    </w:p>
    <w:p>
      <w:pPr>
        <w:pStyle w:val="Heading1"/>
      </w:pPr>
      <w:r>
        <w:t>Copy-ready blank intake form</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776"/>
      </w:tblGrid>
      <w:tr>
        <w:trPr>
          <w:cantSplit/>
          <w:tblHeader/>
        </w:trPr>
        <w:tc>
          <w:tcPr>
            <w:tcW w:type="dxa" w:w="2448"/>
          </w:tcPr>
          <w:p>
            <w:pPr>
              <w:spacing w:after="80"/>
            </w:pPr>
            <w:r>
              <w:rPr>
                <w:b/>
                <w:sz w:val="18"/>
              </w:rPr>
              <w:t>Field</w:t>
            </w:r>
          </w:p>
        </w:tc>
        <w:tc>
          <w:tcPr>
            <w:tcW w:type="dxa" w:w="7776"/>
          </w:tcPr>
          <w:p>
            <w:pPr>
              <w:spacing w:after="80"/>
            </w:pPr>
            <w:r>
              <w:rPr>
                <w:b/>
                <w:sz w:val="18"/>
              </w:rPr>
              <w:t>Complete with your team</w:t>
            </w:r>
          </w:p>
        </w:tc>
      </w:tr>
      <w:tr>
        <w:trPr>
          <w:cantSplit/>
        </w:trPr>
        <w:tc>
          <w:tcPr>
            <w:tcW w:type="dxa" w:w="2448"/>
          </w:tcPr>
          <w:p>
            <w:pPr>
              <w:spacing w:after="80"/>
            </w:pPr>
            <w:r>
              <w:rPr>
                <w:sz w:val="18"/>
              </w:rPr>
              <w:t>Role and ownership</w:t>
            </w:r>
          </w:p>
        </w:tc>
        <w:tc>
          <w:tcPr>
            <w:tcW w:type="dxa" w:w="7776"/>
          </w:tcPr>
          <w:p>
            <w:pPr>
              <w:spacing w:after="80"/>
            </w:pPr>
            <w:r>
              <w:rPr>
                <w:sz w:val="18"/>
              </w:rPr>
              <w:t>[Role title, department, manager, recruiter, meeting date, decision owner]</w:t>
              <w:br/>
              <w:t>________________________________</w:t>
            </w:r>
          </w:p>
        </w:tc>
      </w:tr>
      <w:tr>
        <w:trPr>
          <w:cantSplit/>
        </w:trPr>
        <w:tc>
          <w:tcPr>
            <w:tcW w:type="dxa" w:w="2448"/>
          </w:tcPr>
          <w:p>
            <w:pPr>
              <w:spacing w:after="80"/>
            </w:pPr>
            <w:r>
              <w:rPr>
                <w:sz w:val="18"/>
              </w:rPr>
              <w:t>Business reason and approvals</w:t>
            </w:r>
          </w:p>
        </w:tc>
        <w:tc>
          <w:tcPr>
            <w:tcW w:type="dxa" w:w="7776"/>
          </w:tcPr>
          <w:p>
            <w:pPr>
              <w:spacing w:after="80"/>
            </w:pPr>
            <w:r>
              <w:rPr>
                <w:sz w:val="18"/>
              </w:rPr>
              <w:t>[Why hire, approved headcount/budget, remaining approvals and owner]</w:t>
              <w:br/>
              <w:t>________________________________</w:t>
            </w:r>
          </w:p>
        </w:tc>
      </w:tr>
      <w:tr>
        <w:trPr>
          <w:cantSplit/>
        </w:trPr>
        <w:tc>
          <w:tcPr>
            <w:tcW w:type="dxa" w:w="2448"/>
          </w:tcPr>
          <w:p>
            <w:pPr>
              <w:spacing w:after="80"/>
            </w:pPr>
            <w:r>
              <w:rPr>
                <w:sz w:val="18"/>
              </w:rPr>
              <w:t>First 90-day outcomes</w:t>
            </w:r>
          </w:p>
        </w:tc>
        <w:tc>
          <w:tcPr>
            <w:tcW w:type="dxa" w:w="7776"/>
          </w:tcPr>
          <w:p>
            <w:pPr>
              <w:spacing w:after="80"/>
            </w:pPr>
            <w:r>
              <w:rPr>
                <w:sz w:val="18"/>
              </w:rPr>
              <w:t>[Three observable outcomes, evidence and priority]</w:t>
              <w:br/>
              <w:t>________________________________</w:t>
            </w:r>
          </w:p>
        </w:tc>
      </w:tr>
      <w:tr>
        <w:trPr>
          <w:cantSplit/>
        </w:trPr>
        <w:tc>
          <w:tcPr>
            <w:tcW w:type="dxa" w:w="2448"/>
          </w:tcPr>
          <w:p>
            <w:pPr>
              <w:spacing w:after="80"/>
            </w:pPr>
            <w:r>
              <w:rPr>
                <w:sz w:val="18"/>
              </w:rPr>
              <w:t>Requirements</w:t>
            </w:r>
          </w:p>
        </w:tc>
        <w:tc>
          <w:tcPr>
            <w:tcW w:type="dxa" w:w="7776"/>
          </w:tcPr>
          <w:p>
            <w:pPr>
              <w:spacing w:after="80"/>
            </w:pPr>
            <w:r>
              <w:rPr>
                <w:sz w:val="18"/>
              </w:rPr>
              <w:t>[Must have with job-related reason; preferred; trainable; unnecessary restrictions to remove]</w:t>
              <w:br/>
              <w:t>________________________________</w:t>
            </w:r>
          </w:p>
        </w:tc>
      </w:tr>
      <w:tr>
        <w:trPr>
          <w:cantSplit/>
        </w:trPr>
        <w:tc>
          <w:tcPr>
            <w:tcW w:type="dxa" w:w="2448"/>
          </w:tcPr>
          <w:p>
            <w:pPr>
              <w:spacing w:after="80"/>
            </w:pPr>
            <w:r>
              <w:rPr>
                <w:sz w:val="18"/>
              </w:rPr>
              <w:t>Working conditions</w:t>
            </w:r>
          </w:p>
        </w:tc>
        <w:tc>
          <w:tcPr>
            <w:tcW w:type="dxa" w:w="7776"/>
          </w:tcPr>
          <w:p>
            <w:pPr>
              <w:spacing w:after="80"/>
            </w:pPr>
            <w:r>
              <w:rPr>
                <w:sz w:val="18"/>
              </w:rPr>
              <w:t>[US location, remote/hybrid/on-site expectations, schedule, travel, process access contact]</w:t>
              <w:br/>
              <w:t>________________________________</w:t>
            </w:r>
          </w:p>
        </w:tc>
      </w:tr>
      <w:tr>
        <w:trPr>
          <w:cantSplit/>
        </w:trPr>
        <w:tc>
          <w:tcPr>
            <w:tcW w:type="dxa" w:w="2448"/>
          </w:tcPr>
          <w:p>
            <w:pPr>
              <w:spacing w:after="80"/>
            </w:pPr>
            <w:r>
              <w:rPr>
                <w:sz w:val="18"/>
              </w:rPr>
              <w:t>Compensation</w:t>
            </w:r>
          </w:p>
        </w:tc>
        <w:tc>
          <w:tcPr>
            <w:tcW w:type="dxa" w:w="7776"/>
          </w:tcPr>
          <w:p>
            <w:pPr>
              <w:spacing w:after="80"/>
            </w:pPr>
            <w:r>
              <w:rPr>
                <w:sz w:val="18"/>
              </w:rPr>
              <w:t>[Approved USD budget, components, disclosure review owner, exception authority]</w:t>
              <w:br/>
              <w:t>________________________________</w:t>
            </w:r>
          </w:p>
        </w:tc>
      </w:tr>
      <w:tr>
        <w:trPr>
          <w:cantSplit/>
        </w:trPr>
        <w:tc>
          <w:tcPr>
            <w:tcW w:type="dxa" w:w="2448"/>
          </w:tcPr>
          <w:p>
            <w:pPr>
              <w:spacing w:after="80"/>
            </w:pPr>
            <w:r>
              <w:rPr>
                <w:sz w:val="18"/>
              </w:rPr>
              <w:t>Search direction</w:t>
            </w:r>
          </w:p>
        </w:tc>
        <w:tc>
          <w:tcPr>
            <w:tcW w:type="dxa" w:w="7776"/>
          </w:tcPr>
          <w:p>
            <w:pPr>
              <w:spacing w:after="80"/>
            </w:pPr>
            <w:r>
              <w:rPr>
                <w:sz w:val="18"/>
              </w:rPr>
              <w:t>[Relevant skills, likely sources, initial hypotheses to test, search owner]</w:t>
              <w:br/>
              <w:t>________________________________</w:t>
            </w:r>
          </w:p>
        </w:tc>
      </w:tr>
      <w:tr>
        <w:trPr>
          <w:cantSplit/>
        </w:trPr>
        <w:tc>
          <w:tcPr>
            <w:tcW w:type="dxa" w:w="2448"/>
          </w:tcPr>
          <w:p>
            <w:pPr>
              <w:spacing w:after="80"/>
            </w:pPr>
            <w:r>
              <w:rPr>
                <w:sz w:val="18"/>
              </w:rPr>
              <w:t>Interview plan</w:t>
            </w:r>
          </w:p>
        </w:tc>
        <w:tc>
          <w:tcPr>
            <w:tcW w:type="dxa" w:w="7776"/>
          </w:tcPr>
          <w:p>
            <w:pPr>
              <w:spacing w:after="80"/>
            </w:pPr>
            <w:r>
              <w:rPr>
                <w:sz w:val="18"/>
              </w:rPr>
              <w:t>[Stages, criterion owner, common questions, evidence, evaluation form and decision owner]</w:t>
              <w:br/>
              <w:t>________________________________</w:t>
            </w:r>
          </w:p>
        </w:tc>
      </w:tr>
      <w:tr>
        <w:trPr>
          <w:cantSplit/>
        </w:trPr>
        <w:tc>
          <w:tcPr>
            <w:tcW w:type="dxa" w:w="2448"/>
          </w:tcPr>
          <w:p>
            <w:pPr>
              <w:spacing w:after="80"/>
            </w:pPr>
            <w:r>
              <w:rPr>
                <w:sz w:val="18"/>
              </w:rPr>
              <w:t>Feedback and communication</w:t>
            </w:r>
          </w:p>
        </w:tc>
        <w:tc>
          <w:tcPr>
            <w:tcW w:type="dxa" w:w="7776"/>
          </w:tcPr>
          <w:p>
            <w:pPr>
              <w:spacing w:after="80"/>
            </w:pPr>
            <w:r>
              <w:rPr>
                <w:sz w:val="18"/>
              </w:rPr>
              <w:t>[Feedback due time, escalation owner, candidate update owner and expected next step]</w:t>
              <w:br/>
              <w:t>________________________________</w:t>
            </w:r>
          </w:p>
        </w:tc>
      </w:tr>
      <w:tr>
        <w:trPr>
          <w:cantSplit/>
        </w:trPr>
        <w:tc>
          <w:tcPr>
            <w:tcW w:type="dxa" w:w="2448"/>
          </w:tcPr>
          <w:p>
            <w:pPr>
              <w:spacing w:after="80"/>
            </w:pPr>
            <w:r>
              <w:rPr>
                <w:sz w:val="18"/>
              </w:rPr>
              <w:t>Open questions and actions</w:t>
            </w:r>
          </w:p>
        </w:tc>
        <w:tc>
          <w:tcPr>
            <w:tcW w:type="dxa" w:w="7776"/>
          </w:tcPr>
          <w:p>
            <w:pPr>
              <w:spacing w:after="80"/>
            </w:pPr>
            <w:r>
              <w:rPr>
                <w:sz w:val="18"/>
              </w:rPr>
              <w:t>[Question, owner, due date, decision and next review]</w:t>
              <w:br/>
              <w:t>________________________________</w:t>
            </w:r>
          </w:p>
        </w:tc>
      </w:tr>
    </w:tbl>
    <w:p/>
    <w:p>
      <w:r>
        <w:br w:type="page"/>
      </w:r>
    </w:p>
    <w:p>
      <w:pPr>
        <w:pStyle w:val="Heading1"/>
      </w:pPr>
      <w:r>
        <w:t>A practical 40-minute meeting agenda</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3960"/>
        <w:gridCol w:w="3888"/>
      </w:tblGrid>
      <w:tr>
        <w:trPr>
          <w:cantSplit/>
          <w:tblHeader/>
        </w:trPr>
        <w:tc>
          <w:tcPr>
            <w:tcW w:type="dxa" w:w="2376"/>
          </w:tcPr>
          <w:p>
            <w:pPr>
              <w:spacing w:after="80"/>
            </w:pPr>
            <w:r>
              <w:rPr>
                <w:b/>
                <w:sz w:val="18"/>
              </w:rPr>
              <w:t>Time</w:t>
            </w:r>
          </w:p>
        </w:tc>
        <w:tc>
          <w:tcPr>
            <w:tcW w:type="dxa" w:w="3960"/>
          </w:tcPr>
          <w:p>
            <w:pPr>
              <w:spacing w:after="80"/>
            </w:pPr>
            <w:r>
              <w:rPr>
                <w:b/>
                <w:sz w:val="18"/>
              </w:rPr>
              <w:t>Discussion</w:t>
            </w:r>
          </w:p>
        </w:tc>
        <w:tc>
          <w:tcPr>
            <w:tcW w:type="dxa" w:w="3888"/>
          </w:tcPr>
          <w:p>
            <w:pPr>
              <w:spacing w:after="80"/>
            </w:pPr>
            <w:r>
              <w:rPr>
                <w:b/>
                <w:sz w:val="18"/>
              </w:rPr>
              <w:t>Output</w:t>
            </w:r>
          </w:p>
        </w:tc>
      </w:tr>
      <w:tr>
        <w:trPr>
          <w:cantSplit/>
        </w:trPr>
        <w:tc>
          <w:tcPr>
            <w:tcW w:type="dxa" w:w="2376"/>
          </w:tcPr>
          <w:p>
            <w:pPr>
              <w:spacing w:after="80"/>
            </w:pPr>
            <w:r>
              <w:rPr>
                <w:sz w:val="18"/>
              </w:rPr>
              <w:t>0-5 minutes</w:t>
            </w:r>
          </w:p>
        </w:tc>
        <w:tc>
          <w:tcPr>
            <w:tcW w:type="dxa" w:w="3960"/>
          </w:tcPr>
          <w:p>
            <w:pPr>
              <w:spacing w:after="80"/>
            </w:pPr>
            <w:r>
              <w:rPr>
                <w:sz w:val="18"/>
              </w:rPr>
              <w:t>Why the role exists; approval status; reporting line.</w:t>
            </w:r>
          </w:p>
        </w:tc>
        <w:tc>
          <w:tcPr>
            <w:tcW w:type="dxa" w:w="3888"/>
          </w:tcPr>
          <w:p>
            <w:pPr>
              <w:spacing w:after="80"/>
            </w:pPr>
            <w:r>
              <w:rPr>
                <w:sz w:val="18"/>
              </w:rPr>
              <w:t>Business reason and unresolved approvals.</w:t>
            </w:r>
          </w:p>
        </w:tc>
      </w:tr>
      <w:tr>
        <w:trPr>
          <w:cantSplit/>
        </w:trPr>
        <w:tc>
          <w:tcPr>
            <w:tcW w:type="dxa" w:w="2376"/>
          </w:tcPr>
          <w:p>
            <w:pPr>
              <w:spacing w:after="80"/>
            </w:pPr>
            <w:r>
              <w:rPr>
                <w:sz w:val="18"/>
              </w:rPr>
              <w:t>5-15 minutes</w:t>
            </w:r>
          </w:p>
        </w:tc>
        <w:tc>
          <w:tcPr>
            <w:tcW w:type="dxa" w:w="3960"/>
          </w:tcPr>
          <w:p>
            <w:pPr>
              <w:spacing w:after="80"/>
            </w:pPr>
            <w:r>
              <w:rPr>
                <w:sz w:val="18"/>
              </w:rPr>
              <w:t>First 90-day outcomes; required versus trainable skills.</w:t>
            </w:r>
          </w:p>
        </w:tc>
        <w:tc>
          <w:tcPr>
            <w:tcW w:type="dxa" w:w="3888"/>
          </w:tcPr>
          <w:p>
            <w:pPr>
              <w:spacing w:after="80"/>
            </w:pPr>
            <w:r>
              <w:rPr>
                <w:sz w:val="18"/>
              </w:rPr>
              <w:t>Prioritized outcomes and job-related criteria.</w:t>
            </w:r>
          </w:p>
        </w:tc>
      </w:tr>
      <w:tr>
        <w:trPr>
          <w:cantSplit/>
        </w:trPr>
        <w:tc>
          <w:tcPr>
            <w:tcW w:type="dxa" w:w="2376"/>
          </w:tcPr>
          <w:p>
            <w:pPr>
              <w:spacing w:after="80"/>
            </w:pPr>
            <w:r>
              <w:rPr>
                <w:sz w:val="18"/>
              </w:rPr>
              <w:t>15-22 minutes</w:t>
            </w:r>
          </w:p>
        </w:tc>
        <w:tc>
          <w:tcPr>
            <w:tcW w:type="dxa" w:w="3960"/>
          </w:tcPr>
          <w:p>
            <w:pPr>
              <w:spacing w:after="80"/>
            </w:pPr>
            <w:r>
              <w:rPr>
                <w:sz w:val="18"/>
              </w:rPr>
              <w:t>Location, schedule, compensation budget and candidate questions.</w:t>
            </w:r>
          </w:p>
        </w:tc>
        <w:tc>
          <w:tcPr>
            <w:tcW w:type="dxa" w:w="3888"/>
          </w:tcPr>
          <w:p>
            <w:pPr>
              <w:spacing w:after="80"/>
            </w:pPr>
            <w:r>
              <w:rPr>
                <w:sz w:val="18"/>
              </w:rPr>
              <w:t>Approved parameters and escalation owner.</w:t>
            </w:r>
          </w:p>
        </w:tc>
      </w:tr>
      <w:tr>
        <w:trPr>
          <w:cantSplit/>
        </w:trPr>
        <w:tc>
          <w:tcPr>
            <w:tcW w:type="dxa" w:w="2376"/>
          </w:tcPr>
          <w:p>
            <w:pPr>
              <w:spacing w:after="80"/>
            </w:pPr>
            <w:r>
              <w:rPr>
                <w:sz w:val="18"/>
              </w:rPr>
              <w:t>22-32 minutes</w:t>
            </w:r>
          </w:p>
        </w:tc>
        <w:tc>
          <w:tcPr>
            <w:tcW w:type="dxa" w:w="3960"/>
          </w:tcPr>
          <w:p>
            <w:pPr>
              <w:spacing w:after="80"/>
            </w:pPr>
            <w:r>
              <w:rPr>
                <w:sz w:val="18"/>
              </w:rPr>
              <w:t>Interview stages, assessment evidence and team responsibilities.</w:t>
            </w:r>
          </w:p>
        </w:tc>
        <w:tc>
          <w:tcPr>
            <w:tcW w:type="dxa" w:w="3888"/>
          </w:tcPr>
          <w:p>
            <w:pPr>
              <w:spacing w:after="80"/>
            </w:pPr>
            <w:r>
              <w:rPr>
                <w:sz w:val="18"/>
              </w:rPr>
              <w:t>Stage owners and evidence to collect.</w:t>
            </w:r>
          </w:p>
        </w:tc>
      </w:tr>
      <w:tr>
        <w:trPr>
          <w:cantSplit/>
        </w:trPr>
        <w:tc>
          <w:tcPr>
            <w:tcW w:type="dxa" w:w="2376"/>
          </w:tcPr>
          <w:p>
            <w:pPr>
              <w:spacing w:after="80"/>
            </w:pPr>
            <w:r>
              <w:rPr>
                <w:sz w:val="18"/>
              </w:rPr>
              <w:t>32-37 minutes</w:t>
            </w:r>
          </w:p>
        </w:tc>
        <w:tc>
          <w:tcPr>
            <w:tcW w:type="dxa" w:w="3960"/>
          </w:tcPr>
          <w:p>
            <w:pPr>
              <w:spacing w:after="80"/>
            </w:pPr>
            <w:r>
              <w:rPr>
                <w:sz w:val="18"/>
              </w:rPr>
              <w:t>Sourcing hypotheses, process constraints and feedback expectations.</w:t>
            </w:r>
          </w:p>
        </w:tc>
        <w:tc>
          <w:tcPr>
            <w:tcW w:type="dxa" w:w="3888"/>
          </w:tcPr>
          <w:p>
            <w:pPr>
              <w:spacing w:after="80"/>
            </w:pPr>
            <w:r>
              <w:rPr>
                <w:sz w:val="18"/>
              </w:rPr>
              <w:t>Initial search direction and response timetable.</w:t>
            </w:r>
          </w:p>
        </w:tc>
      </w:tr>
      <w:tr>
        <w:trPr>
          <w:cantSplit/>
        </w:trPr>
        <w:tc>
          <w:tcPr>
            <w:tcW w:type="dxa" w:w="2376"/>
          </w:tcPr>
          <w:p>
            <w:pPr>
              <w:spacing w:after="80"/>
            </w:pPr>
            <w:r>
              <w:rPr>
                <w:sz w:val="18"/>
              </w:rPr>
              <w:t>37-40 minutes</w:t>
            </w:r>
          </w:p>
        </w:tc>
        <w:tc>
          <w:tcPr>
            <w:tcW w:type="dxa" w:w="3960"/>
          </w:tcPr>
          <w:p>
            <w:pPr>
              <w:spacing w:after="80"/>
            </w:pPr>
            <w:r>
              <w:rPr>
                <w:sz w:val="18"/>
              </w:rPr>
              <w:t>Read back decisions and remaining questions.</w:t>
            </w:r>
          </w:p>
        </w:tc>
        <w:tc>
          <w:tcPr>
            <w:tcW w:type="dxa" w:w="3888"/>
          </w:tcPr>
          <w:p>
            <w:pPr>
              <w:spacing w:after="80"/>
            </w:pPr>
            <w:r>
              <w:rPr>
                <w:sz w:val="18"/>
              </w:rPr>
              <w:t>Named actions, dates and next review.</w:t>
            </w:r>
          </w:p>
        </w:tc>
      </w:tr>
    </w:tbl>
    <w:p/>
    <w:p>
      <w:r>
        <w:t>The timing is an illustrative facilitation plan, not a benchmark. Shorten it for a familiar role or schedule a second discussion when important decisions remain open.</w:t>
      </w:r>
    </w:p>
    <w:p>
      <w:r>
        <w:br w:type="page"/>
      </w:r>
    </w:p>
    <w:p>
      <w:pPr>
        <w:pStyle w:val="Heading1"/>
      </w:pPr>
      <w:r>
        <w:t>Fictional completed intake example</w:t>
      </w:r>
    </w:p>
    <w:p>
      <w:r>
        <w:t>Illustrative only: Harbor Desk is an invented US business hiring a customer-support team lead. The budget, responsibilities and time expectations below are example inputs, not salary benchmarks, customer outcomes or Treegarden commitments.</w:t>
      </w:r>
    </w:p>
    <w:p>
      <w:pPr>
        <w:pStyle w:val="ListBullet"/>
      </w:pPr>
      <w:r>
        <w:t>Ownership: Customer Support Team Lead; hiring manager Alex; recruiter Morgan; final decision by the support director.</w:t>
      </w:r>
    </w:p>
    <w:p>
      <w:pPr>
        <w:pStyle w:val="ListBullet"/>
      </w:pPr>
      <w:r>
        <w:t>Business reason: establish consistent queue ownership and coaching for a growing support team. Headcount and example budget are approved; travel expectations require confirmation before advertising.</w:t>
      </w:r>
    </w:p>
    <w:p>
      <w:pPr>
        <w:pStyle w:val="ListBullet"/>
      </w:pPr>
      <w:r>
        <w:t>90-day outcomes: document escalation ownership; run a weekly coaching review; present a baseline queue report with agreed definitions. No invented percentage improvement is promised.</w:t>
      </w:r>
    </w:p>
    <w:p>
      <w:pPr>
        <w:pStyle w:val="ListBullet"/>
      </w:pPr>
      <w:r>
        <w:t>Must have: evidence of handling escalations and coaching colleagues. Preferred: familiarity with the team's ticketing tool. Trainable: the specific product. A particular degree or previous employer is not required in this scenario.</w:t>
      </w:r>
    </w:p>
    <w:p>
      <w:pPr>
        <w:pStyle w:val="ListBullet"/>
      </w:pPr>
      <w:r>
        <w:t>Working conditions: US-based remote role with an agreed Eastern Time overlap; final schedule wording to be checked with HR.</w:t>
      </w:r>
    </w:p>
    <w:p>
      <w:pPr>
        <w:pStyle w:val="ListBullet"/>
      </w:pPr>
      <w:r>
        <w:t>Compensation: fictional approved base budget of $85,000-$100,000 USD per year, excluding benefits. HR reviews applicable location disclosures; the director owns exceptions.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3960"/>
        <w:gridCol w:w="3888"/>
      </w:tblGrid>
      <w:tr>
        <w:trPr>
          <w:cantSplit/>
          <w:tblHeader/>
        </w:trPr>
        <w:tc>
          <w:tcPr>
            <w:tcW w:type="dxa" w:w="2376"/>
          </w:tcPr>
          <w:p>
            <w:pPr>
              <w:spacing w:after="80"/>
            </w:pPr>
            <w:r>
              <w:rPr>
                <w:b/>
                <w:sz w:val="18"/>
              </w:rPr>
              <w:t>Stage</w:t>
            </w:r>
          </w:p>
        </w:tc>
        <w:tc>
          <w:tcPr>
            <w:tcW w:type="dxa" w:w="3960"/>
          </w:tcPr>
          <w:p>
            <w:pPr>
              <w:spacing w:after="80"/>
            </w:pPr>
            <w:r>
              <w:rPr>
                <w:b/>
                <w:sz w:val="18"/>
              </w:rPr>
              <w:t>Owner and evidence</w:t>
            </w:r>
          </w:p>
        </w:tc>
        <w:tc>
          <w:tcPr>
            <w:tcW w:type="dxa" w:w="3888"/>
          </w:tcPr>
          <w:p>
            <w:pPr>
              <w:spacing w:after="80"/>
            </w:pPr>
            <w:r>
              <w:rPr>
                <w:b/>
                <w:sz w:val="18"/>
              </w:rPr>
              <w:t>Feedback expectation</w:t>
            </w:r>
          </w:p>
        </w:tc>
      </w:tr>
      <w:tr>
        <w:trPr>
          <w:cantSplit/>
        </w:trPr>
        <w:tc>
          <w:tcPr>
            <w:tcW w:type="dxa" w:w="2376"/>
          </w:tcPr>
          <w:p>
            <w:pPr>
              <w:spacing w:after="80"/>
            </w:pPr>
            <w:r>
              <w:rPr>
                <w:sz w:val="18"/>
              </w:rPr>
              <w:t>Recruiter conversation</w:t>
            </w:r>
          </w:p>
        </w:tc>
        <w:tc>
          <w:tcPr>
            <w:tcW w:type="dxa" w:w="3960"/>
          </w:tcPr>
          <w:p>
            <w:pPr>
              <w:spacing w:after="80"/>
            </w:pPr>
            <w:r>
              <w:rPr>
                <w:sz w:val="18"/>
              </w:rPr>
              <w:t>Morgan confirms role expectations, availability and candidate questions.</w:t>
            </w:r>
          </w:p>
        </w:tc>
        <w:tc>
          <w:tcPr>
            <w:tcW w:type="dxa" w:w="3888"/>
          </w:tcPr>
          <w:p>
            <w:pPr>
              <w:spacing w:after="80"/>
            </w:pPr>
            <w:r>
              <w:rPr>
                <w:sz w:val="18"/>
              </w:rPr>
              <w:t>Record factual notes and unanswered questions.</w:t>
            </w:r>
          </w:p>
        </w:tc>
      </w:tr>
      <w:tr>
        <w:trPr>
          <w:cantSplit/>
        </w:trPr>
        <w:tc>
          <w:tcPr>
            <w:tcW w:type="dxa" w:w="2376"/>
          </w:tcPr>
          <w:p>
            <w:pPr>
              <w:spacing w:after="80"/>
            </w:pPr>
            <w:r>
              <w:rPr>
                <w:sz w:val="18"/>
              </w:rPr>
              <w:t>Structured manager interview</w:t>
            </w:r>
          </w:p>
        </w:tc>
        <w:tc>
          <w:tcPr>
            <w:tcW w:type="dxa" w:w="3960"/>
          </w:tcPr>
          <w:p>
            <w:pPr>
              <w:spacing w:after="80"/>
            </w:pPr>
            <w:r>
              <w:rPr>
                <w:sz w:val="18"/>
              </w:rPr>
              <w:t>Alex asks common escalation and coaching questions; records examples against anchored criteria.</w:t>
            </w:r>
          </w:p>
        </w:tc>
        <w:tc>
          <w:tcPr>
            <w:tcW w:type="dxa" w:w="3888"/>
          </w:tcPr>
          <w:p>
            <w:pPr>
              <w:spacing w:after="80"/>
            </w:pPr>
            <w:r>
              <w:rPr>
                <w:sz w:val="18"/>
              </w:rPr>
              <w:t>Complete the evaluation form before the debrief; fictional target: next business day.</w:t>
            </w:r>
          </w:p>
        </w:tc>
      </w:tr>
      <w:tr>
        <w:trPr>
          <w:cantSplit/>
        </w:trPr>
        <w:tc>
          <w:tcPr>
            <w:tcW w:type="dxa" w:w="2376"/>
          </w:tcPr>
          <w:p>
            <w:pPr>
              <w:spacing w:after="80"/>
            </w:pPr>
            <w:r>
              <w:rPr>
                <w:sz w:val="18"/>
              </w:rPr>
              <w:t>Role-related scenario</w:t>
            </w:r>
          </w:p>
        </w:tc>
        <w:tc>
          <w:tcPr>
            <w:tcW w:type="dxa" w:w="3960"/>
          </w:tcPr>
          <w:p>
            <w:pPr>
              <w:spacing w:after="80"/>
            </w:pPr>
            <w:r>
              <w:rPr>
                <w:sz w:val="18"/>
              </w:rPr>
              <w:t>Panel discusses an ambiguous queue escalation using the same brief and scoring anchors.</w:t>
            </w:r>
          </w:p>
        </w:tc>
        <w:tc>
          <w:tcPr>
            <w:tcW w:type="dxa" w:w="3888"/>
          </w:tcPr>
          <w:p>
            <w:pPr>
              <w:spacing w:after="80"/>
            </w:pPr>
            <w:r>
              <w:rPr>
                <w:sz w:val="18"/>
              </w:rPr>
              <w:t>Separate observed evidence from assumptions; offer a process-access contact.</w:t>
            </w:r>
          </w:p>
        </w:tc>
      </w:tr>
      <w:tr>
        <w:trPr>
          <w:cantSplit/>
        </w:trPr>
        <w:tc>
          <w:tcPr>
            <w:tcW w:type="dxa" w:w="2376"/>
          </w:tcPr>
          <w:p>
            <w:pPr>
              <w:spacing w:after="80"/>
            </w:pPr>
            <w:r>
              <w:rPr>
                <w:sz w:val="18"/>
              </w:rPr>
              <w:t>Decision discussion</w:t>
            </w:r>
          </w:p>
        </w:tc>
        <w:tc>
          <w:tcPr>
            <w:tcW w:type="dxa" w:w="3960"/>
          </w:tcPr>
          <w:p>
            <w:pPr>
              <w:spacing w:after="80"/>
            </w:pPr>
            <w:r>
              <w:rPr>
                <w:sz w:val="18"/>
              </w:rPr>
              <w:t>Support director reviews criterion-level evidence and unresolved risks.</w:t>
            </w:r>
          </w:p>
        </w:tc>
        <w:tc>
          <w:tcPr>
            <w:tcW w:type="dxa" w:w="3888"/>
          </w:tcPr>
          <w:p>
            <w:pPr>
              <w:spacing w:after="80"/>
            </w:pPr>
            <w:r>
              <w:rPr>
                <w:sz w:val="18"/>
              </w:rPr>
              <w:t>Human decision recorded with rationale; Morgan owns candidate communication.</w:t>
            </w:r>
          </w:p>
        </w:tc>
      </w:tr>
    </w:tbl>
    <w:p/>
    <w:p>
      <w:r>
        <w:t>Disagreement example: Alex initially requests experience with one exact software brand. Morgan asks what task requires it. The team agrees that diagnosing an escalation is required, while the software interface is trainable. The intake record captures that decision so sourcing and interviewing use the same criterion.</w:t>
      </w:r>
    </w:p>
    <w:p>
      <w:r>
        <w:t>Source principles: OPM structured interviews - https://www.opm.gov/policy-data-oversight/assessment-and-selection/structured-interviews/</w:t>
      </w:r>
    </w:p>
    <w:p>
      <w:r>
        <w:t>Treegarden provides ATS and HR software. Original editable template; all completed scenarios and cost figures are fictional. No real candidate information is used.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Treegarden | Editable template | October 14,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Treegarden | Hiring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Hiring Manager Intake Meeting: Questions and Template</dc:title>
  <dc:subject/>
  <dc:creator>Treegarden</dc:creator>
  <cp:keywords/>
  <dc:description>generated by python-docx</dc:description>
  <cp:lastModifiedBy/>
  <cp:revision>1</cp:revision>
  <dcterms:created xsi:type="dcterms:W3CDTF">2013-12-23T23:15:00Z</dcterms:created>
  <dcterms:modified xsi:type="dcterms:W3CDTF">2013-12-23T23:15:00Z</dcterms:modified>
  <cp:category/>
</cp:coreProperties>
</file>