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Interview debrief agenda</w:t>
      </w:r>
    </w:p>
    <w:p>
      <w:r>
        <w:t>Use this editable pack to compare job-related interview evidence and record a human decision. The 30-minute agenda is a suggested operating format, not a research benchmark or mandatory hiring rule.</w:t>
      </w:r>
    </w:p>
    <w:p>
      <w:pPr>
        <w:pStyle w:val="Heading1"/>
      </w:pPr>
      <w:r>
        <w:t>Preparation checklist</w:t>
      </w:r>
    </w:p>
    <w:p>
      <w:r>
        <w:t>[ ] Confirm the job outcomes, required competencies and rating anchors used in the interviews.</w:t>
      </w:r>
    </w:p>
    <w:p>
      <w:r>
        <w:t>[ ] Ask each interviewer to write their assessment independently before the discussion.</w:t>
      </w:r>
    </w:p>
    <w:p>
      <w:r>
        <w:t>[ ] Attach specific observations to each rating; separate observation from interpretation.</w:t>
      </w:r>
    </w:p>
    <w:p>
      <w:r>
        <w:t>[ ] Mark unassessed requirements as not assessed rather than assigning a low score.</w:t>
      </w:r>
    </w:p>
    <w:p>
      <w:r>
        <w:t>[ ] Name a facilitator, decision owner and person responsible for updating the candidate.</w:t>
      </w:r>
    </w:p>
    <w:p>
      <w:r>
        <w:t>[ ] Use only job-related information and restrict access to the hiring team under your retention policy.</w:t>
      </w:r>
    </w:p>
    <w:p>
      <w:pPr>
        <w:pStyle w:val="Heading1"/>
      </w:pPr>
      <w:r>
        <w:t>Suggested meeting agenda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96"/>
        <w:gridCol w:w="2232"/>
        <w:gridCol w:w="6696"/>
      </w:tblGrid>
      <w:tr>
        <w:trPr>
          <w:tblHeader/>
          <w:cantSplit/>
        </w:trPr>
        <w:tc>
          <w:tcPr>
            <w:tcW w:type="dxa" w:w="1296"/>
          </w:tcPr>
          <w:p>
            <w:pPr>
              <w:spacing w:after="80" w:before="80"/>
            </w:pPr>
            <w:r>
              <w:rPr>
                <w:b/>
                <w:sz w:val="20"/>
              </w:rPr>
              <w:t>Time</w:t>
            </w:r>
          </w:p>
        </w:tc>
        <w:tc>
          <w:tcPr>
            <w:tcW w:type="dxa" w:w="2232"/>
          </w:tcPr>
          <w:p>
            <w:pPr>
              <w:spacing w:after="80" w:before="80"/>
            </w:pPr>
            <w:r>
              <w:rPr>
                <w:b/>
                <w:sz w:val="20"/>
              </w:rPr>
              <w:t>Step</w:t>
            </w:r>
          </w:p>
        </w:tc>
        <w:tc>
          <w:tcPr>
            <w:tcW w:type="dxa" w:w="6696"/>
          </w:tcPr>
          <w:p>
            <w:pPr>
              <w:spacing w:after="80" w:before="80"/>
            </w:pPr>
            <w:r>
              <w:rPr>
                <w:b/>
                <w:sz w:val="20"/>
              </w:rPr>
              <w:t>Action</w:t>
            </w:r>
          </w:p>
        </w:tc>
      </w:tr>
      <w:tr>
        <w:trPr>
          <w:cantSplit/>
        </w:trPr>
        <w:tc>
          <w:tcPr>
            <w:tcW w:type="dxa" w:w="1296"/>
          </w:tcPr>
          <w:p>
            <w:pPr>
              <w:spacing w:after="80" w:before="80"/>
            </w:pPr>
            <w:r>
              <w:rPr>
                <w:sz w:val="20"/>
              </w:rPr>
              <w:t>0-3 minutes</w:t>
            </w:r>
          </w:p>
        </w:tc>
        <w:tc>
          <w:tcPr>
            <w:tcW w:type="dxa" w:w="2232"/>
          </w:tcPr>
          <w:p>
            <w:pPr>
              <w:spacing w:after="80" w:before="80"/>
            </w:pPr>
            <w:r>
              <w:rPr>
                <w:sz w:val="20"/>
              </w:rPr>
              <w:t>Confirm the decision</w:t>
            </w:r>
          </w:p>
        </w:tc>
        <w:tc>
          <w:tcPr>
            <w:tcW w:type="dxa" w:w="6696"/>
          </w:tcPr>
          <w:p>
            <w:pPr>
              <w:spacing w:after="80" w:before="80"/>
            </w:pPr>
            <w:r>
              <w:rPr>
                <w:sz w:val="20"/>
              </w:rPr>
              <w:t>Facilitator restates the role outcomes, required competencies and decision owner. Do not introduce new criteria.</w:t>
            </w:r>
          </w:p>
        </w:tc>
      </w:tr>
      <w:tr>
        <w:trPr>
          <w:cantSplit/>
        </w:trPr>
        <w:tc>
          <w:tcPr>
            <w:tcW w:type="dxa" w:w="1296"/>
          </w:tcPr>
          <w:p>
            <w:pPr>
              <w:spacing w:after="80" w:before="80"/>
            </w:pPr>
            <w:r>
              <w:rPr>
                <w:sz w:val="20"/>
              </w:rPr>
              <w:t>3-6 minutes</w:t>
            </w:r>
          </w:p>
        </w:tc>
        <w:tc>
          <w:tcPr>
            <w:tcW w:type="dxa" w:w="2232"/>
          </w:tcPr>
          <w:p>
            <w:pPr>
              <w:spacing w:after="80" w:before="80"/>
            </w:pPr>
            <w:r>
              <w:rPr>
                <w:sz w:val="20"/>
              </w:rPr>
              <w:t>Read independent notes</w:t>
            </w:r>
          </w:p>
        </w:tc>
        <w:tc>
          <w:tcPr>
            <w:tcW w:type="dxa" w:w="6696"/>
          </w:tcPr>
          <w:p>
            <w:pPr>
              <w:spacing w:after="80" w:before="80"/>
            </w:pPr>
            <w:r>
              <w:rPr>
                <w:sz w:val="20"/>
              </w:rPr>
              <w:t>Everyone reviews the submitted evidence. Flag missing assessments and distinguish missing evidence from a low score.</w:t>
            </w:r>
          </w:p>
        </w:tc>
      </w:tr>
      <w:tr>
        <w:trPr>
          <w:cantSplit/>
        </w:trPr>
        <w:tc>
          <w:tcPr>
            <w:tcW w:type="dxa" w:w="1296"/>
          </w:tcPr>
          <w:p>
            <w:pPr>
              <w:spacing w:after="80" w:before="80"/>
            </w:pPr>
            <w:r>
              <w:rPr>
                <w:sz w:val="20"/>
              </w:rPr>
              <w:t>6-18 minutes</w:t>
            </w:r>
          </w:p>
        </w:tc>
        <w:tc>
          <w:tcPr>
            <w:tcW w:type="dxa" w:w="2232"/>
          </w:tcPr>
          <w:p>
            <w:pPr>
              <w:spacing w:after="80" w:before="80"/>
            </w:pPr>
            <w:r>
              <w:rPr>
                <w:sz w:val="20"/>
              </w:rPr>
              <w:t>Compare evidence by competency</w:t>
            </w:r>
          </w:p>
        </w:tc>
        <w:tc>
          <w:tcPr>
            <w:tcW w:type="dxa" w:w="6696"/>
          </w:tcPr>
          <w:p>
            <w:pPr>
              <w:spacing w:after="80" w:before="80"/>
            </w:pPr>
            <w:r>
              <w:rPr>
                <w:sz w:val="20"/>
              </w:rPr>
              <w:t>Discuss one requirement at a time. Each interviewer identifies what the candidate said or did and the agreed rating anchor it supports.</w:t>
            </w:r>
          </w:p>
        </w:tc>
      </w:tr>
      <w:tr>
        <w:trPr>
          <w:cantSplit/>
        </w:trPr>
        <w:tc>
          <w:tcPr>
            <w:tcW w:type="dxa" w:w="1296"/>
          </w:tcPr>
          <w:p>
            <w:pPr>
              <w:spacing w:after="80" w:before="80"/>
            </w:pPr>
            <w:r>
              <w:rPr>
                <w:sz w:val="20"/>
              </w:rPr>
              <w:t>18-25 minutes</w:t>
            </w:r>
          </w:p>
        </w:tc>
        <w:tc>
          <w:tcPr>
            <w:tcW w:type="dxa" w:w="2232"/>
          </w:tcPr>
          <w:p>
            <w:pPr>
              <w:spacing w:after="80" w:before="80"/>
            </w:pPr>
            <w:r>
              <w:rPr>
                <w:sz w:val="20"/>
              </w:rPr>
              <w:t>Resolve disagreement and gaps</w:t>
            </w:r>
          </w:p>
        </w:tc>
        <w:tc>
          <w:tcPr>
            <w:tcW w:type="dxa" w:w="6696"/>
          </w:tcPr>
          <w:p>
            <w:pPr>
              <w:spacing w:after="80" w:before="80"/>
            </w:pPr>
            <w:r>
              <w:rPr>
                <w:sz w:val="20"/>
              </w:rPr>
              <w:t>Identify whether the difference is in observation, interpretation or the requirement itself. Choose a focused follow-up only if it could change the decision.</w:t>
            </w:r>
          </w:p>
        </w:tc>
      </w:tr>
      <w:tr>
        <w:trPr>
          <w:cantSplit/>
        </w:trPr>
        <w:tc>
          <w:tcPr>
            <w:tcW w:type="dxa" w:w="1296"/>
          </w:tcPr>
          <w:p>
            <w:pPr>
              <w:spacing w:after="80" w:before="80"/>
            </w:pPr>
            <w:r>
              <w:rPr>
                <w:sz w:val="20"/>
              </w:rPr>
              <w:t>25-30 minutes</w:t>
            </w:r>
          </w:p>
        </w:tc>
        <w:tc>
          <w:tcPr>
            <w:tcW w:type="dxa" w:w="2232"/>
          </w:tcPr>
          <w:p>
            <w:pPr>
              <w:spacing w:after="80" w:before="80"/>
            </w:pPr>
            <w:r>
              <w:rPr>
                <w:sz w:val="20"/>
              </w:rPr>
              <w:t>Record the decision and next step</w:t>
            </w:r>
          </w:p>
        </w:tc>
        <w:tc>
          <w:tcPr>
            <w:tcW w:type="dxa" w:w="6696"/>
          </w:tcPr>
          <w:p>
            <w:pPr>
              <w:spacing w:after="80" w:before="80"/>
            </w:pPr>
            <w:r>
              <w:rPr>
                <w:sz w:val="20"/>
              </w:rPr>
              <w:t>Decision owner records the rationale, dissent, remaining uncertainty, action owner and candidate-update deadline.</w:t>
            </w:r>
          </w:p>
        </w:tc>
      </w:tr>
    </w:tbl>
    <w:p>
      <w:pPr/>
      <w:r>
        <w:t>If required evidence is missing, record the gap and assign a focused follow-up. Do not convert a missing assessment into a low score.</w:t>
      </w:r>
    </w:p>
    <w:p>
      <w:r>
        <w:br w:type="page"/>
      </w:r>
    </w:p>
    <w:p>
      <w:pPr>
        <w:pStyle w:val="Title"/>
      </w:pPr>
      <w:r>
        <w:t>Blank decision record</w:t>
      </w:r>
    </w:p>
    <w:p>
      <w:r>
        <w:t>Duplicate this page for each debrief. Use a candidate reference instead of unnecessary personal details. Restrict access and follow your organization's retention policy.</w:t>
      </w:r>
    </w:p>
    <w:p>
      <w:pPr>
        <w:spacing w:before="140" w:after="60"/>
      </w:pPr>
      <w:r>
        <w:rPr>
          <w:b/>
        </w:rPr>
        <w:t>Role and requisition reference</w:t>
      </w:r>
    </w:p>
    <w:p>
      <w:pPr>
        <w:spacing w:after="60"/>
      </w:pPr>
      <w:r>
        <w:t>________________________________________________________________________</w:t>
        <w:br/>
        <w:t>________________________________________________________________________</w:t>
      </w:r>
    </w:p>
    <w:p>
      <w:pPr>
        <w:spacing w:before="140" w:after="60"/>
      </w:pPr>
      <w:r>
        <w:rPr>
          <w:b/>
        </w:rPr>
        <w:t>Candidate reference and debrief date</w:t>
      </w:r>
    </w:p>
    <w:p>
      <w:pPr>
        <w:spacing w:after="60"/>
      </w:pPr>
      <w:r>
        <w:t>________________________________________________________________________</w:t>
        <w:br/>
        <w:t>________________________________________________________________________</w:t>
      </w:r>
    </w:p>
    <w:p>
      <w:pPr>
        <w:spacing w:before="140" w:after="60"/>
      </w:pPr>
      <w:r>
        <w:rPr>
          <w:b/>
        </w:rPr>
        <w:t>Facilitator and decision owner</w:t>
      </w:r>
    </w:p>
    <w:p>
      <w:pPr>
        <w:spacing w:after="60"/>
      </w:pPr>
      <w:r>
        <w:t>________________________________________________________________________</w:t>
        <w:br/>
        <w:t>________________________________________________________________________</w:t>
      </w:r>
    </w:p>
    <w:p>
      <w:pPr>
        <w:spacing w:before="140" w:after="60"/>
      </w:pPr>
      <w:r>
        <w:rPr>
          <w:b/>
        </w:rPr>
        <w:t>Required role outcomes and competencies</w:t>
      </w:r>
    </w:p>
    <w:p>
      <w:pPr>
        <w:spacing w:after="60"/>
      </w:pPr>
      <w:r>
        <w:t>________________________________________________________________________</w:t>
        <w:br/>
        <w:t>________________________________________________________________________</w:t>
      </w:r>
    </w:p>
    <w:p>
      <w:pPr>
        <w:spacing w:before="140" w:after="60"/>
      </w:pPr>
      <w:r>
        <w:rPr>
          <w:b/>
        </w:rPr>
        <w:t>Evidence by competency, source and rating anchor</w:t>
      </w:r>
    </w:p>
    <w:p>
      <w:pPr>
        <w:spacing w:after="60"/>
      </w:pPr>
      <w:r>
        <w:t>________________________________________________________________________</w:t>
        <w:br/>
        <w:t>________________________________________________________________________</w:t>
      </w:r>
    </w:p>
    <w:p>
      <w:pPr>
        <w:spacing w:before="140" w:after="60"/>
      </w:pPr>
      <w:r>
        <w:rPr>
          <w:b/>
        </w:rPr>
        <w:t>Missing evidence and remaining uncertainty</w:t>
      </w:r>
    </w:p>
    <w:p>
      <w:pPr>
        <w:spacing w:after="60"/>
      </w:pPr>
      <w:r>
        <w:t>________________________________________________________________________</w:t>
        <w:br/>
        <w:t>________________________________________________________________________</w:t>
      </w:r>
    </w:p>
    <w:p>
      <w:pPr>
        <w:spacing w:before="140" w:after="60"/>
      </w:pPr>
      <w:r>
        <w:rPr>
          <w:b/>
        </w:rPr>
        <w:t>Decision and job-related rationale</w:t>
      </w:r>
    </w:p>
    <w:p>
      <w:pPr>
        <w:spacing w:after="60"/>
      </w:pPr>
      <w:r>
        <w:t>________________________________________________________________________</w:t>
        <w:br/>
        <w:t>________________________________________________________________________</w:t>
      </w:r>
    </w:p>
    <w:p>
      <w:pPr>
        <w:spacing w:before="140" w:after="60"/>
      </w:pPr>
      <w:r>
        <w:rPr>
          <w:b/>
        </w:rPr>
        <w:t>Dissent and how it was considered</w:t>
      </w:r>
    </w:p>
    <w:p>
      <w:pPr>
        <w:spacing w:after="60"/>
      </w:pPr>
      <w:r>
        <w:t>________________________________________________________________________</w:t>
        <w:br/>
        <w:t>________________________________________________________________________</w:t>
      </w:r>
    </w:p>
    <w:p>
      <w:pPr>
        <w:spacing w:before="140" w:after="60"/>
      </w:pPr>
      <w:r>
        <w:rPr>
          <w:b/>
        </w:rPr>
        <w:t>Follow-up action, owner and deadline</w:t>
      </w:r>
    </w:p>
    <w:p>
      <w:pPr>
        <w:spacing w:after="60"/>
      </w:pPr>
      <w:r>
        <w:t>________________________________________________________________________</w:t>
        <w:br/>
        <w:t>________________________________________________________________________</w:t>
      </w:r>
    </w:p>
    <w:p>
      <w:pPr>
        <w:spacing w:before="140" w:after="60"/>
      </w:pPr>
      <w:r>
        <w:rPr>
          <w:b/>
        </w:rPr>
        <w:t>Candidate update owner and deadline</w:t>
      </w:r>
    </w:p>
    <w:p>
      <w:pPr>
        <w:spacing w:after="60"/>
      </w:pPr>
      <w:r>
        <w:t>________________________________________________________________________</w:t>
        <w:br/>
        <w:t>________________________________________________________________________</w:t>
      </w:r>
    </w:p>
    <w:p>
      <w:r>
        <w:t>No universal pass mark applies. Document the decision against the role requirements and preserve any dissent or revised interpretation.</w:t>
      </w:r>
    </w:p>
    <w:p>
      <w:r>
        <w:br w:type="page"/>
      </w:r>
    </w:p>
    <w:p>
      <w:pPr>
        <w:pStyle w:val="Title"/>
      </w:pPr>
      <w:r>
        <w:t>Fictional completed example</w:t>
      </w:r>
    </w:p>
    <w:p>
      <w:r>
        <w:t>Candidate A and all events below are fictional. This is a process illustration, not a customer result or a validated selection rule.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8280"/>
      </w:tblGrid>
      <w:tr>
        <w:trPr>
          <w:tblHeader/>
          <w:cantSplit/>
        </w:trPr>
        <w:tc>
          <w:tcPr>
            <w:tcW w:type="dxa" w:w="1944"/>
          </w:tcPr>
          <w:p>
            <w:pPr>
              <w:spacing w:after="80" w:before="80"/>
            </w:pPr>
            <w:r>
              <w:rPr>
                <w:b/>
                <w:sz w:val="20"/>
              </w:rPr>
              <w:t>Record field</w:t>
            </w:r>
          </w:p>
        </w:tc>
        <w:tc>
          <w:tcPr>
            <w:tcW w:type="dxa" w:w="8280"/>
          </w:tcPr>
          <w:p>
            <w:pPr>
              <w:spacing w:after="80" w:before="80"/>
            </w:pPr>
            <w:r>
              <w:rPr>
                <w:b/>
                <w:sz w:val="20"/>
              </w:rPr>
              <w:t>Fictional completed example</w:t>
            </w:r>
          </w:p>
        </w:tc>
      </w:tr>
      <w:tr>
        <w:trPr>
          <w:cantSplit/>
        </w:trPr>
        <w:tc>
          <w:tcPr>
            <w:tcW w:type="dxa" w:w="1944"/>
          </w:tcPr>
          <w:p>
            <w:pPr>
              <w:spacing w:after="80" w:before="80"/>
            </w:pPr>
            <w:r>
              <w:rPr>
                <w:sz w:val="20"/>
              </w:rPr>
              <w:t>Role and candidate</w:t>
            </w:r>
          </w:p>
        </w:tc>
        <w:tc>
          <w:tcPr>
            <w:tcW w:type="dxa" w:w="8280"/>
          </w:tcPr>
          <w:p>
            <w:pPr>
              <w:spacing w:after="80" w:before="80"/>
            </w:pPr>
            <w:r>
              <w:rPr>
                <w:sz w:val="20"/>
              </w:rPr>
              <w:t>Customer Support Lead; Candidate A. All people, events and evidence in this example are fictional.</w:t>
            </w:r>
          </w:p>
        </w:tc>
      </w:tr>
      <w:tr>
        <w:trPr>
          <w:cantSplit/>
        </w:trPr>
        <w:tc>
          <w:tcPr>
            <w:tcW w:type="dxa" w:w="1944"/>
          </w:tcPr>
          <w:p>
            <w:pPr>
              <w:spacing w:after="80" w:before="80"/>
            </w:pPr>
            <w:r>
              <w:rPr>
                <w:sz w:val="20"/>
              </w:rPr>
              <w:t>Required outcomes</w:t>
            </w:r>
          </w:p>
        </w:tc>
        <w:tc>
          <w:tcPr>
            <w:tcW w:type="dxa" w:w="8280"/>
          </w:tcPr>
          <w:p>
            <w:pPr>
              <w:spacing w:after="80" w:before="80"/>
            </w:pPr>
            <w:r>
              <w:rPr>
                <w:sz w:val="20"/>
              </w:rPr>
              <w:t>Prioritize escalations, coach support agents and communicate decisions to customers.</w:t>
            </w:r>
          </w:p>
        </w:tc>
      </w:tr>
      <w:tr>
        <w:trPr>
          <w:cantSplit/>
        </w:trPr>
        <w:tc>
          <w:tcPr>
            <w:tcW w:type="dxa" w:w="1944"/>
          </w:tcPr>
          <w:p>
            <w:pPr>
              <w:spacing w:after="80" w:before="80"/>
            </w:pPr>
            <w:r>
              <w:rPr>
                <w:sz w:val="20"/>
              </w:rPr>
              <w:t>Escalation judgment</w:t>
            </w:r>
          </w:p>
        </w:tc>
        <w:tc>
          <w:tcPr>
            <w:tcW w:type="dxa" w:w="8280"/>
          </w:tcPr>
          <w:p>
            <w:pPr>
              <w:spacing w:after="80" w:before="80"/>
            </w:pPr>
            <w:r>
              <w:rPr>
                <w:sz w:val="20"/>
              </w:rPr>
              <w:t>In a role-play, Candidate A checked service impact and affected users before prioritizing two incidents. The panel's agreed anchor was prioritization with a clear explanation. Evidence supports that anchor.</w:t>
            </w:r>
          </w:p>
        </w:tc>
      </w:tr>
      <w:tr>
        <w:trPr>
          <w:cantSplit/>
        </w:trPr>
        <w:tc>
          <w:tcPr>
            <w:tcW w:type="dxa" w:w="1944"/>
          </w:tcPr>
          <w:p>
            <w:pPr>
              <w:spacing w:after="80" w:before="80"/>
            </w:pPr>
            <w:r>
              <w:rPr>
                <w:sz w:val="20"/>
              </w:rPr>
              <w:t>Coaching</w:t>
            </w:r>
          </w:p>
        </w:tc>
        <w:tc>
          <w:tcPr>
            <w:tcW w:type="dxa" w:w="8280"/>
          </w:tcPr>
          <w:p>
            <w:pPr>
              <w:spacing w:after="80" w:before="80"/>
            </w:pPr>
            <w:r>
              <w:rPr>
                <w:sz w:val="20"/>
              </w:rPr>
              <w:t>The candidate described weekly coaching, but the interviewer did not establish what changed after the coaching. Marked not fully assessed, rather than a failed competency.</w:t>
            </w:r>
          </w:p>
        </w:tc>
      </w:tr>
      <w:tr>
        <w:trPr>
          <w:cantSplit/>
        </w:trPr>
        <w:tc>
          <w:tcPr>
            <w:tcW w:type="dxa" w:w="1944"/>
          </w:tcPr>
          <w:p>
            <w:pPr>
              <w:spacing w:after="80" w:before="80"/>
            </w:pPr>
            <w:r>
              <w:rPr>
                <w:sz w:val="20"/>
              </w:rPr>
              <w:t>Customer communication</w:t>
            </w:r>
          </w:p>
        </w:tc>
        <w:tc>
          <w:tcPr>
            <w:tcW w:type="dxa" w:w="8280"/>
          </w:tcPr>
          <w:p>
            <w:pPr>
              <w:spacing w:after="80" w:before="80"/>
            </w:pPr>
            <w:r>
              <w:rPr>
                <w:sz w:val="20"/>
              </w:rPr>
              <w:t>In the written exercise, Candidate A explained the next action, owner and update time. Evidence supports the agreed communication anchor.</w:t>
            </w:r>
          </w:p>
        </w:tc>
      </w:tr>
      <w:tr>
        <w:trPr>
          <w:cantSplit/>
        </w:trPr>
        <w:tc>
          <w:tcPr>
            <w:tcW w:type="dxa" w:w="1944"/>
          </w:tcPr>
          <w:p>
            <w:pPr>
              <w:spacing w:after="80" w:before="80"/>
            </w:pPr>
            <w:r>
              <w:rPr>
                <w:sz w:val="20"/>
              </w:rPr>
              <w:t>Initial decision</w:t>
            </w:r>
          </w:p>
        </w:tc>
        <w:tc>
          <w:tcPr>
            <w:tcW w:type="dxa" w:w="8280"/>
          </w:tcPr>
          <w:p>
            <w:pPr>
              <w:spacing w:after="80" w:before="80"/>
            </w:pPr>
            <w:r>
              <w:rPr>
                <w:sz w:val="20"/>
              </w:rPr>
              <w:t>Hold the final decision for one targeted coaching follow-up. Do not average away the missing evidence.</w:t>
            </w:r>
          </w:p>
        </w:tc>
      </w:tr>
      <w:tr>
        <w:trPr>
          <w:cantSplit/>
        </w:trPr>
        <w:tc>
          <w:tcPr>
            <w:tcW w:type="dxa" w:w="1944"/>
          </w:tcPr>
          <w:p>
            <w:pPr>
              <w:spacing w:after="80" w:before="80"/>
            </w:pPr>
            <w:r>
              <w:rPr>
                <w:sz w:val="20"/>
              </w:rPr>
              <w:t>Dissent</w:t>
            </w:r>
          </w:p>
        </w:tc>
        <w:tc>
          <w:tcPr>
            <w:tcW w:type="dxa" w:w="8280"/>
          </w:tcPr>
          <w:p>
            <w:pPr>
              <w:spacing w:after="80" w:before="80"/>
            </w:pPr>
            <w:r>
              <w:rPr>
                <w:sz w:val="20"/>
              </w:rPr>
              <w:t>One interviewer recommended proceeding immediately because the escalation exercise was strong. The decision owner recorded that view, but coaching is an entry requirement and remains unassessed.</w:t>
            </w:r>
          </w:p>
        </w:tc>
      </w:tr>
      <w:tr>
        <w:trPr>
          <w:cantSplit/>
        </w:trPr>
        <w:tc>
          <w:tcPr>
            <w:tcW w:type="dxa" w:w="1944"/>
          </w:tcPr>
          <w:p>
            <w:pPr>
              <w:spacing w:after="80" w:before="80"/>
            </w:pPr>
            <w:r>
              <w:rPr>
                <w:sz w:val="20"/>
              </w:rPr>
              <w:t>Follow-up</w:t>
            </w:r>
          </w:p>
        </w:tc>
        <w:tc>
          <w:tcPr>
            <w:tcW w:type="dxa" w:w="8280"/>
          </w:tcPr>
          <w:p>
            <w:pPr>
              <w:spacing w:after="80" w:before="80"/>
            </w:pPr>
            <w:r>
              <w:rPr>
                <w:sz w:val="20"/>
              </w:rPr>
              <w:t>Hiring manager asks the same approved coaching follow-up used for candidates at this stage by the next business day. Recruiter tells the candidate when to expect an update.</w:t>
            </w:r>
          </w:p>
        </w:tc>
      </w:tr>
      <w:tr>
        <w:trPr>
          <w:cantSplit/>
        </w:trPr>
        <w:tc>
          <w:tcPr>
            <w:tcW w:type="dxa" w:w="1944"/>
          </w:tcPr>
          <w:p>
            <w:pPr>
              <w:spacing w:after="80" w:before="80"/>
            </w:pPr>
            <w:r>
              <w:rPr>
                <w:sz w:val="20"/>
              </w:rPr>
              <w:t>Completed decision</w:t>
            </w:r>
          </w:p>
        </w:tc>
        <w:tc>
          <w:tcPr>
            <w:tcW w:type="dxa" w:w="8280"/>
          </w:tcPr>
          <w:p>
            <w:pPr>
              <w:spacing w:after="80" w:before="80"/>
            </w:pPr>
            <w:r>
              <w:rPr>
                <w:sz w:val="20"/>
              </w:rPr>
              <w:t>After the follow-up, Candidate A explains a specific coaching plan and an observable change in the agent's work. Decision owner recommends proceeding to the next hiring step and records why the coaching requirement is now supported. This is a fictional process example, not a validated hiring rule.</w:t>
            </w:r>
          </w:p>
        </w:tc>
      </w:tr>
    </w:tbl>
    <w:p>
      <w:pPr>
        <w:pStyle w:val="Heading1"/>
      </w:pPr>
      <w:r>
        <w:t>Fictional disagreement example</w:t>
      </w:r>
    </w:p>
    <w:p>
      <w:r>
        <w:rPr>
          <w:b/>
        </w:rPr>
        <w:t xml:space="preserve">Observation: </w:t>
      </w:r>
      <w:r>
        <w:t>Interviewer 1 rated escalation judgment below the anchor because the candidate asked several clarifying questions. Interviewer 2 rated it at the anchor because those questions established customer impact.</w:t>
      </w:r>
    </w:p>
    <w:p>
      <w:r>
        <w:rPr>
          <w:b/>
        </w:rPr>
        <w:t xml:space="preserve">Facilitator prompt: </w:t>
      </w:r>
      <w:r>
        <w:t>Which action did each of you observe, and what does our agreed anchor require?</w:t>
      </w:r>
    </w:p>
    <w:p>
      <w:r>
        <w:rPr>
          <w:b/>
        </w:rPr>
        <w:t xml:space="preserve">Resolution: </w:t>
      </w:r>
      <w:r>
        <w:t>The anchor requires establishing impact before prioritizing. Both interviewers observed that behavior. They retain their original notes and document why the interpretation changed. If the actual observation remains disputed, record the gap and decide whether a focused follow-up is necessary.</w:t>
      </w:r>
    </w:p>
    <w:p>
      <w:r>
        <w:t>Source principles: OPM Structured Interviews and OPM Structured Interviews A Practical Guide (September 2008). Practitioner reference: Ashby The Hiring Memo (March 24, 2022). Sources checked October 13, 2026. Full source links appear in the accompanying article.</w:t>
      </w:r>
    </w:p>
    <w:p>
      <w:r>
        <w:t>Treegarden created these original templates and sells ATS and HR software. Practical process guidance, not legal advice. This document does not transmit data online.</w:t>
      </w:r>
    </w:p>
    <w:sectPr w:rsidR="00FC693F" w:rsidRPr="0006063C" w:rsidSect="00034616">
      <w:headerReference w:type="default" r:id="rId9"/>
      <w:footerReference w:type="default" r:id="rId10"/>
      <w:pgSz w:w="12240" w:h="15840"/>
      <w:pgMar w:top="864" w:right="1008" w:bottom="864"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Treegarden | Editable hiring resource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Treegarden ATS + HR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debrief agenda and decision record</dc:title>
  <dc:subject>Original editable hiring template with explicitly fictional examples</dc:subject>
  <dc:creator>Treegarden</dc:creator>
  <cp:keywords/>
  <dc:description>generated by python-docx</dc:description>
  <cp:lastModifiedBy/>
  <cp:revision>1</cp:revision>
  <dcterms:created xsi:type="dcterms:W3CDTF">2026-10-13T20:02:16Z</dcterms:created>
  <dcterms:modified xsi:type="dcterms:W3CDTF">2026-10-13T20:02:16Z</dcterms:modified>
  <cp:category/>
</cp:coreProperties>
</file>